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F822" w14:textId="77777777" w:rsidR="006D1776" w:rsidRPr="00AE7A90" w:rsidRDefault="006D1776" w:rsidP="006D1776">
      <w:pPr>
        <w:pStyle w:val="a3"/>
        <w:rPr>
          <w:rFonts w:eastAsia="맑은 고딕"/>
        </w:rPr>
      </w:pPr>
      <w:bookmarkStart w:id="0" w:name="_Toc78213562"/>
      <w:r>
        <w:t>S3 Fig</w:t>
      </w:r>
      <w:r w:rsidRPr="00AE7A90">
        <w:rPr>
          <w:rFonts w:eastAsia="맑은 고딕"/>
        </w:rPr>
        <w:t>. Absolute and relative risks of congenital heart defects in infants according to individual benzodiazepine exposure during the first trimester</w:t>
      </w:r>
      <w:bookmarkEnd w:id="0"/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3"/>
        <w:gridCol w:w="916"/>
        <w:gridCol w:w="958"/>
        <w:gridCol w:w="1365"/>
        <w:gridCol w:w="254"/>
        <w:gridCol w:w="2057"/>
        <w:gridCol w:w="2060"/>
        <w:gridCol w:w="2515"/>
      </w:tblGrid>
      <w:tr w:rsidR="006D1776" w14:paraId="0F082093" w14:textId="77777777" w:rsidTr="00A55219">
        <w:trPr>
          <w:trHeight w:val="289"/>
        </w:trPr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AEDC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7115C7C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 xml:space="preserve">No. of 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br/>
              <w:t>Events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015F5C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 xml:space="preserve">No. of 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br/>
              <w:t>Births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582F9B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>Risk/1,000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br/>
              <w:t>Births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CB27ED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B952D4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>Relative Risk (95% CI)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EAB5C7D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>PS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>-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 xml:space="preserve">adjusted 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br/>
              <w:t>relative risk (95% CI)</w:t>
            </w:r>
          </w:p>
        </w:tc>
      </w:tr>
      <w:tr w:rsidR="006D1776" w14:paraId="28C5B599" w14:textId="77777777" w:rsidTr="00A55219">
        <w:trPr>
          <w:trHeight w:val="301"/>
        </w:trPr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D64FF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>Subgroups</w:t>
            </w: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C58E4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F0A07F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8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4A0C64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FCA3383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272AF8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>Unadjusted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A821A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>PS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>-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  <w:t>adjusted</w:t>
            </w:r>
          </w:p>
        </w:tc>
        <w:tc>
          <w:tcPr>
            <w:tcW w:w="901" w:type="pct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520721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6D1776" w14:paraId="703C6641" w14:textId="77777777" w:rsidTr="00A55219">
        <w:trPr>
          <w:trHeight w:val="301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6EDF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Congenital heart defects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3502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58F5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709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C420C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7D5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F255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A4D5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429930EA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B49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 xml:space="preserve">  Short-acting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BCAC4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913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E86B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21,775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C9B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41.9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E4F25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0AF2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1.53 (1.44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1.63)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AAD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1.18 (1.10</w:t>
            </w:r>
            <w:r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1.26)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E24D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15FD6DBB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59CD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Midazolam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CA5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470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4BC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8,609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270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54.6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601B2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C335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1.99 (1.83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2.18)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B547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1.34 (1.22</w:t>
            </w:r>
            <w:r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1.47)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32349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4CB5DA1D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59F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Tofisopam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AAC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153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A8D45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4,804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842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31.8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BCDB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C1C3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1.16 (1.00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1.36)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3419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1.09 (0.93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1.28)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7904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0D99CC00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75D4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Etizolam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4A6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9CD9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3,665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1097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36.3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04FF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9749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1.33 (1.12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1.57)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90F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1.16 (0.98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1.38)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DAF4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2DD4C216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DEFD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Lorazepam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693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98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9D53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2,468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6F63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39.7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D1B14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C09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1.45 (1.19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1.76)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DB57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1.14 (0.93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1.40)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47B23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076CC650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8DB3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Clotiazepam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DF5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51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3293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1,896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F1B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26.9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FE74C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19D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0.98 (0.75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1.29)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0EA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0.90 (0.69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1.19)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C8D7C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1FED6298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8CA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Alprazolam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E4B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65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60D6F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1,473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23C8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44.1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F7BF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5637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1.61 (1.27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2.04)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666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1.33 (1.04</w:t>
            </w:r>
            <w:r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1.71)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E6E62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12CD23D2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3583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Triazolam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C9B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45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62B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1,299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EBE4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34.6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54DA3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4ED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1.27 (0.95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1.69)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7148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1.12 (0.83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1.51)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2AA54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251468C6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F7D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Mexazolam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0688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2880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56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D269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17.9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B36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452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0.65 (0.09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4.55)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58D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0.57 (0.08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3.98)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3F2B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762D892D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04304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 xml:space="preserve">  </w:t>
            </w:r>
            <w:proofErr w:type="gramStart"/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Long</w:t>
            </w:r>
            <w:r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acting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BBC332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733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3C14A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20,321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F0388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9B69825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F7A75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1.32 (1.23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1.42)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AD38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1.11 (1.04</w:t>
            </w:r>
            <w:r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1.20)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CF09FC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eastAsia="맑은 고딕"/>
                <w:noProof/>
              </w:rPr>
              <w:drawing>
                <wp:anchor distT="0" distB="0" distL="114300" distR="114300" simplePos="0" relativeHeight="251659264" behindDoc="0" locked="0" layoutInCell="1" allowOverlap="1" wp14:anchorId="499A5DAC" wp14:editId="42086C9F">
                  <wp:simplePos x="0" y="0"/>
                  <wp:positionH relativeFrom="margin">
                    <wp:posOffset>-86360</wp:posOffset>
                  </wp:positionH>
                  <wp:positionV relativeFrom="paragraph">
                    <wp:posOffset>-1795780</wp:posOffset>
                  </wp:positionV>
                  <wp:extent cx="1663065" cy="3678555"/>
                  <wp:effectExtent l="0" t="0" r="0" b="0"/>
                  <wp:wrapNone/>
                  <wp:docPr id="30" name="그림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12009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3678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1776" w14:paraId="0FCA262B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F469ED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Diazepam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907632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641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1358D9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17,923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4439E5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35.8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C6E07D2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2EBFE8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1.31 (1.21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1.41)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84FF19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1.12 (1.04</w:t>
            </w:r>
            <w:r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1.21)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93B376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6D1776" w14:paraId="07E7066B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703B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Clonazepam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C6FB0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58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99B43C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1,454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A4101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39.9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C0A9907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D646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1.46 (1.13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1.88)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20B7F9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1.10 (0.84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1.45)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43ECA62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6E5CEDFF" w14:textId="77777777" w:rsidTr="00A55219">
        <w:trPr>
          <w:trHeight w:val="305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EDF12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Flunitrazepam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749BE3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43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13E5CD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824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3D9C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52.2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AA6FEF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8F0DE4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1.91 (1.42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2.55)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1488FF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1.67 (1.21</w:t>
            </w:r>
            <w:r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2.29)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8D855B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6D1776" w14:paraId="6F4B9D1A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234964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Chlordiazepoxide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C387F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44508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381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191B2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31.5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6325E9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370A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1.15 (0.66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2.01)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E6113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1.13 (0.65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1.97)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2FFEB7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6D1776" w14:paraId="1A5E6FD2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D6DA9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Clobazam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8BCAB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EC8062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218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060865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50.5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67CC788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FF992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1.84 (1.04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3.28)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A2500C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1.28 (0.69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2.40)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8E593A7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22FB0CB9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F4926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Flurazepam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A114F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AF281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159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A2EA8D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25.2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D0D1364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DB9F3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0.92 (0.35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2.42)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C351D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0.84 (0.31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2.23)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8280957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71C3A653" w14:textId="77777777" w:rsidTr="00A55219">
        <w:trPr>
          <w:trHeight w:val="29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23DEF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  Ethyl </w:t>
            </w:r>
            <w:proofErr w:type="spellStart"/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loflazepate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2C6CD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582AC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 xml:space="preserve">132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6EEB3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75.8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436B28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72E23B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2.77 (1.53</w:t>
            </w:r>
            <w:r>
              <w:rPr>
                <w:rFonts w:ascii="Times New Roman" w:eastAsia="맑은 고딕" w:hAnsi="Times New Roman" w:cs="Times New Roman"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sz w:val="21"/>
                <w:szCs w:val="21"/>
              </w:rPr>
              <w:t>5.02)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DBF49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2.43 (1.33</w:t>
            </w:r>
            <w:r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–</w:t>
            </w:r>
            <w:r w:rsidRPr="00AE7A90">
              <w:rPr>
                <w:rFonts w:ascii="Times New Roman" w:eastAsia="맑은 고딕" w:hAnsi="Times New Roman" w:cs="Times New Roman"/>
                <w:b/>
                <w:bCs/>
                <w:sz w:val="21"/>
                <w:szCs w:val="21"/>
              </w:rPr>
              <w:t>4.42)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8022C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4D1D8694" w14:textId="77777777" w:rsidTr="00A55219">
        <w:trPr>
          <w:trHeight w:val="244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C399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B1C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059E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4355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3F1E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7646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3439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22B8C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6D1776" w14:paraId="4604A279" w14:textId="77777777" w:rsidTr="00A55219">
        <w:trPr>
          <w:trHeight w:val="253"/>
        </w:trPr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C0CB1D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3CC7DC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CC493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20D55D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A60E3A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7C9ECF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E55FF0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9E53E1" w14:textId="77777777" w:rsidR="006D1776" w:rsidRPr="00AE7A90" w:rsidRDefault="006D1776" w:rsidP="00A552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3AD9DD97" w14:textId="77777777" w:rsidR="006D1776" w:rsidRPr="00AE7A90" w:rsidRDefault="006D1776" w:rsidP="006D1776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Times New Roman" w:eastAsia="맑은 고딕" w:hAnsi="Times New Roman" w:cs="Times New Roman"/>
          <w:kern w:val="24"/>
          <w:sz w:val="18"/>
          <w:szCs w:val="18"/>
        </w:rPr>
      </w:pPr>
      <w:r w:rsidRPr="00AE7A90">
        <w:rPr>
          <w:rFonts w:ascii="Times New Roman" w:eastAsia="맑은 고딕" w:hAnsi="Times New Roman" w:cs="Times New Roman"/>
          <w:b/>
          <w:bCs/>
          <w:kern w:val="24"/>
          <w:sz w:val="18"/>
          <w:szCs w:val="18"/>
        </w:rPr>
        <w:t>Abbreviation</w:t>
      </w:r>
      <w:r>
        <w:rPr>
          <w:rFonts w:ascii="Times New Roman" w:eastAsia="맑은 고딕" w:hAnsi="Times New Roman" w:cs="Times New Roman"/>
          <w:b/>
          <w:bCs/>
          <w:kern w:val="24"/>
          <w:sz w:val="18"/>
          <w:szCs w:val="18"/>
        </w:rPr>
        <w:t>s</w:t>
      </w:r>
      <w:r w:rsidRPr="00AE7A90">
        <w:rPr>
          <w:rFonts w:ascii="Times New Roman" w:eastAsia="맑은 고딕" w:hAnsi="Times New Roman" w:cs="Times New Roman"/>
          <w:b/>
          <w:bCs/>
          <w:kern w:val="24"/>
          <w:sz w:val="18"/>
          <w:szCs w:val="18"/>
        </w:rPr>
        <w:t>:</w:t>
      </w:r>
      <w:r w:rsidRPr="00AE7A90">
        <w:rPr>
          <w:rFonts w:ascii="Times New Roman" w:eastAsia="맑은 고딕" w:hAnsi="Times New Roman" w:cs="Times New Roman"/>
          <w:kern w:val="24"/>
          <w:sz w:val="18"/>
          <w:szCs w:val="18"/>
        </w:rPr>
        <w:t xml:space="preserve"> PS</w:t>
      </w:r>
      <w:r>
        <w:rPr>
          <w:rFonts w:ascii="Times New Roman" w:eastAsia="맑은 고딕" w:hAnsi="Times New Roman" w:cs="Times New Roman"/>
          <w:kern w:val="24"/>
          <w:sz w:val="18"/>
          <w:szCs w:val="18"/>
        </w:rPr>
        <w:t xml:space="preserve">, </w:t>
      </w:r>
      <w:r w:rsidRPr="00AE7A90">
        <w:rPr>
          <w:rFonts w:ascii="Times New Roman" w:eastAsia="맑은 고딕" w:hAnsi="Times New Roman" w:cs="Times New Roman"/>
          <w:kern w:val="24"/>
          <w:sz w:val="18"/>
          <w:szCs w:val="18"/>
        </w:rPr>
        <w:t>propensity score</w:t>
      </w:r>
      <w:r>
        <w:rPr>
          <w:rFonts w:ascii="Times New Roman" w:eastAsia="맑은 고딕" w:hAnsi="Times New Roman" w:cs="Times New Roman"/>
          <w:kern w:val="24"/>
          <w:sz w:val="18"/>
          <w:szCs w:val="18"/>
        </w:rPr>
        <w:t>; CI, confidence interval.</w:t>
      </w:r>
    </w:p>
    <w:p w14:paraId="25B59BB0" w14:textId="77EBA804" w:rsidR="00EC1BA7" w:rsidRPr="006D1776" w:rsidRDefault="006D1776" w:rsidP="006D1776">
      <w:pPr>
        <w:widowControl/>
        <w:wordWrap/>
        <w:autoSpaceDE/>
        <w:autoSpaceDN/>
      </w:pPr>
      <w:r w:rsidRPr="00AE7A90">
        <w:rPr>
          <w:rFonts w:ascii="Times New Roman" w:eastAsia="맑은 고딕" w:hAnsi="Times New Roman" w:cs="Times New Roman"/>
          <w:kern w:val="24"/>
          <w:sz w:val="18"/>
          <w:szCs w:val="18"/>
        </w:rPr>
        <w:t>Clorazepate was not analy</w:t>
      </w:r>
      <w:r>
        <w:rPr>
          <w:rFonts w:ascii="Times New Roman" w:eastAsia="맑은 고딕" w:hAnsi="Times New Roman" w:cs="Times New Roman"/>
          <w:kern w:val="24"/>
          <w:sz w:val="18"/>
          <w:szCs w:val="18"/>
        </w:rPr>
        <w:t>s</w:t>
      </w:r>
      <w:r w:rsidRPr="00AE7A90">
        <w:rPr>
          <w:rFonts w:ascii="Times New Roman" w:eastAsia="맑은 고딕" w:hAnsi="Times New Roman" w:cs="Times New Roman"/>
          <w:kern w:val="24"/>
          <w:sz w:val="18"/>
          <w:szCs w:val="18"/>
        </w:rPr>
        <w:t xml:space="preserve">ed due to </w:t>
      </w:r>
      <w:r>
        <w:rPr>
          <w:rFonts w:ascii="Times New Roman" w:eastAsia="맑은 고딕" w:hAnsi="Times New Roman" w:cs="Times New Roman"/>
          <w:kern w:val="24"/>
          <w:sz w:val="18"/>
          <w:szCs w:val="18"/>
        </w:rPr>
        <w:t xml:space="preserve">the </w:t>
      </w:r>
      <w:r w:rsidRPr="00AE7A90">
        <w:rPr>
          <w:rFonts w:ascii="Times New Roman" w:eastAsia="맑은 고딕" w:hAnsi="Times New Roman" w:cs="Times New Roman"/>
          <w:kern w:val="24"/>
          <w:sz w:val="18"/>
          <w:szCs w:val="18"/>
        </w:rPr>
        <w:t>small sample size (n=14).</w:t>
      </w:r>
    </w:p>
    <w:sectPr w:rsidR="00EC1BA7" w:rsidRPr="006D1776" w:rsidSect="0084100F">
      <w:pgSz w:w="16838" w:h="11906" w:orient="landscape"/>
      <w:pgMar w:top="1077" w:right="1440" w:bottom="107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xNzExNLU0NLG0MLJQ0lEKTi0uzszPAykwrAUARMyG0CwAAAA="/>
  </w:docVars>
  <w:rsids>
    <w:rsidRoot w:val="002E790A"/>
    <w:rsid w:val="000C5E30"/>
    <w:rsid w:val="000F5B79"/>
    <w:rsid w:val="0024012C"/>
    <w:rsid w:val="002E790A"/>
    <w:rsid w:val="003E6E8F"/>
    <w:rsid w:val="006D1776"/>
    <w:rsid w:val="0084100F"/>
    <w:rsid w:val="00DD6C0E"/>
    <w:rsid w:val="00E0632C"/>
    <w:rsid w:val="00E52BDF"/>
    <w:rsid w:val="00E7108A"/>
    <w:rsid w:val="00EC1BA7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BF2E"/>
  <w15:chartTrackingRefBased/>
  <w15:docId w15:val="{09D3BD2E-CBDC-4E0E-9E53-4E1992C6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00F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rsid w:val="0084100F"/>
    <w:rPr>
      <w:rFonts w:ascii="Times New Roman" w:eastAsia="Times New Roman" w:hAnsi="Times New Roman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 YH</dc:creator>
  <cp:keywords/>
  <dc:description/>
  <cp:lastModifiedBy>NOH YH</cp:lastModifiedBy>
  <cp:revision>2</cp:revision>
  <dcterms:created xsi:type="dcterms:W3CDTF">2022-01-24T05:12:00Z</dcterms:created>
  <dcterms:modified xsi:type="dcterms:W3CDTF">2022-01-24T05:12:00Z</dcterms:modified>
</cp:coreProperties>
</file>