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1B96C" w14:textId="77777777" w:rsidR="00A13016" w:rsidRDefault="00CF6EFA" w:rsidP="00CF6EFA">
      <w:pPr>
        <w:pStyle w:val="Heading1"/>
        <w:spacing w:line="480" w:lineRule="auto"/>
      </w:pPr>
      <w:bookmarkStart w:id="0" w:name="_Ref67580023"/>
      <w:bookmarkStart w:id="1" w:name="_Ref67579884"/>
      <w:r>
        <w:t>S</w:t>
      </w:r>
      <w:bookmarkEnd w:id="0"/>
      <w:r w:rsidR="00A13016">
        <w:t>2 Table</w:t>
      </w:r>
      <w:r>
        <w:t xml:space="preserve"> </w:t>
      </w:r>
    </w:p>
    <w:p w14:paraId="5E6E0B6C" w14:textId="26CF01B8" w:rsidR="00CF6EFA" w:rsidRDefault="00CF6EFA" w:rsidP="00A13016">
      <w:r>
        <w:t xml:space="preserve">SPPiRE </w:t>
      </w:r>
      <w:bookmarkStart w:id="2" w:name="_GoBack"/>
      <w:bookmarkEnd w:id="2"/>
      <w:r>
        <w:t>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4620"/>
        <w:gridCol w:w="2633"/>
        <w:gridCol w:w="9"/>
      </w:tblGrid>
      <w:tr w:rsidR="00CF6EFA" w:rsidRPr="00D351BE" w14:paraId="69AC9FA3" w14:textId="77777777" w:rsidTr="002B1A91">
        <w:trPr>
          <w:gridAfter w:val="1"/>
          <w:wAfter w:w="5" w:type="pct"/>
          <w:trHeight w:val="313"/>
          <w:tblHeader/>
        </w:trPr>
        <w:tc>
          <w:tcPr>
            <w:tcW w:w="973" w:type="pct"/>
            <w:shd w:val="clear" w:color="auto" w:fill="000000" w:themeFill="text1"/>
            <w:noWrap/>
            <w:hideMark/>
          </w:tcPr>
          <w:bookmarkEnd w:id="1"/>
          <w:p w14:paraId="3EB90F58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Drug group</w:t>
            </w:r>
          </w:p>
        </w:tc>
        <w:tc>
          <w:tcPr>
            <w:tcW w:w="2562" w:type="pct"/>
            <w:shd w:val="clear" w:color="auto" w:fill="000000" w:themeFill="text1"/>
            <w:noWrap/>
            <w:hideMark/>
          </w:tcPr>
          <w:p w14:paraId="5C8E6607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PIP</w:t>
            </w:r>
          </w:p>
        </w:tc>
        <w:tc>
          <w:tcPr>
            <w:tcW w:w="1460" w:type="pct"/>
            <w:shd w:val="clear" w:color="auto" w:fill="000000" w:themeFill="text1"/>
          </w:tcPr>
          <w:p w14:paraId="5DED0A2F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Reason</w:t>
            </w:r>
          </w:p>
        </w:tc>
      </w:tr>
      <w:tr w:rsidR="00CF6EFA" w:rsidRPr="00D351BE" w14:paraId="0F3FBC86" w14:textId="77777777" w:rsidTr="00AA337A">
        <w:trPr>
          <w:gridAfter w:val="1"/>
          <w:wAfter w:w="5" w:type="pct"/>
          <w:trHeight w:val="315"/>
        </w:trPr>
        <w:tc>
          <w:tcPr>
            <w:tcW w:w="4995" w:type="pct"/>
            <w:gridSpan w:val="3"/>
            <w:shd w:val="clear" w:color="auto" w:fill="E7E6E6" w:themeFill="background2"/>
            <w:noWrap/>
            <w:vAlign w:val="center"/>
          </w:tcPr>
          <w:p w14:paraId="1E752601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Drug groups frequently associated with preventable drug related morbidity</w:t>
            </w:r>
          </w:p>
        </w:tc>
      </w:tr>
      <w:tr w:rsidR="00CF6EFA" w:rsidRPr="00D351BE" w14:paraId="29607CEB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 w:val="restart"/>
            <w:shd w:val="clear" w:color="auto" w:fill="auto"/>
            <w:noWrap/>
            <w:hideMark/>
          </w:tcPr>
          <w:p w14:paraId="1B301116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NSAIDS</w:t>
            </w:r>
          </w:p>
          <w:p w14:paraId="1E0C3982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 </w:t>
            </w:r>
          </w:p>
          <w:p w14:paraId="5606F2C3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 </w:t>
            </w:r>
          </w:p>
          <w:p w14:paraId="639C0811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 </w:t>
            </w:r>
          </w:p>
          <w:p w14:paraId="73EE5D39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 </w:t>
            </w:r>
          </w:p>
          <w:p w14:paraId="1A7B46E0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 </w:t>
            </w:r>
          </w:p>
          <w:p w14:paraId="065AB9E6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 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14:paraId="619A5AB5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with diuretic and ACEi/ARB </w:t>
            </w:r>
            <w:r>
              <w:rPr>
                <w:noProof/>
              </w:rPr>
              <w:t>(1)</w:t>
            </w:r>
          </w:p>
        </w:tc>
        <w:tc>
          <w:tcPr>
            <w:tcW w:w="1460" w:type="pct"/>
            <w:vMerge w:val="restart"/>
            <w:shd w:val="clear" w:color="auto" w:fill="auto"/>
          </w:tcPr>
          <w:p w14:paraId="7996CDC2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renal impairment</w:t>
            </w:r>
          </w:p>
        </w:tc>
      </w:tr>
      <w:tr w:rsidR="00CF6EFA" w:rsidRPr="00D351BE" w14:paraId="49F1FE35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75A51D82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5A69F1C5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with chronic kidney disease (eGFR &lt;50) </w:t>
            </w:r>
            <w:r>
              <w:rPr>
                <w:noProof/>
              </w:rPr>
              <w:t>(1, 2)</w:t>
            </w:r>
          </w:p>
        </w:tc>
        <w:tc>
          <w:tcPr>
            <w:tcW w:w="1460" w:type="pct"/>
            <w:vMerge/>
            <w:shd w:val="clear" w:color="auto" w:fill="auto"/>
          </w:tcPr>
          <w:p w14:paraId="2D6D01FC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728A7657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63B2130A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41915407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for ≥ 12 weeks with no gastroprotection </w:t>
            </w:r>
            <w:r>
              <w:rPr>
                <w:noProof/>
              </w:rPr>
              <w:t>(1)</w:t>
            </w:r>
          </w:p>
        </w:tc>
        <w:tc>
          <w:tcPr>
            <w:tcW w:w="1460" w:type="pct"/>
            <w:vMerge w:val="restart"/>
            <w:shd w:val="clear" w:color="auto" w:fill="auto"/>
          </w:tcPr>
          <w:p w14:paraId="7F5171DF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GI bleed</w:t>
            </w:r>
          </w:p>
        </w:tc>
      </w:tr>
      <w:tr w:rsidR="00CF6EFA" w:rsidRPr="00D351BE" w14:paraId="734896D2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44EACB09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7E7BF39B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that is not COX 2 selective, with a history of PUD with no gastroprotection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vMerge/>
            <w:shd w:val="clear" w:color="auto" w:fill="auto"/>
          </w:tcPr>
          <w:p w14:paraId="743D6B41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6FA3D8E6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42CEDA05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148EC2AB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and antiplatelet with no gastroprotection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vMerge/>
            <w:shd w:val="clear" w:color="auto" w:fill="auto"/>
          </w:tcPr>
          <w:p w14:paraId="43CECD39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2FCE38FD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7BC4DD8C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4A743693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with an anticoagulant </w:t>
            </w:r>
            <w:r>
              <w:rPr>
                <w:noProof/>
              </w:rPr>
              <w:t>(2, 3)</w:t>
            </w:r>
          </w:p>
        </w:tc>
        <w:tc>
          <w:tcPr>
            <w:tcW w:w="1460" w:type="pct"/>
            <w:vMerge/>
            <w:shd w:val="clear" w:color="auto" w:fill="auto"/>
          </w:tcPr>
          <w:p w14:paraId="675E82D6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4299D4EA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156D154F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14D7318C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with severe hypertension or heart failure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shd w:val="clear" w:color="auto" w:fill="auto"/>
          </w:tcPr>
          <w:p w14:paraId="1E948407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hypertension/ heart failure exacerbation</w:t>
            </w:r>
          </w:p>
        </w:tc>
      </w:tr>
      <w:tr w:rsidR="00CF6EFA" w:rsidRPr="00D351BE" w14:paraId="302F9CC5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</w:tcPr>
          <w:p w14:paraId="2289DCB7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</w:tcPr>
          <w:p w14:paraId="1DE52BCE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COX-2 selective with concurrent cardiovascular disease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shd w:val="clear" w:color="auto" w:fill="auto"/>
          </w:tcPr>
          <w:p w14:paraId="7BCE30B5" w14:textId="77777777" w:rsidR="00CF6EFA" w:rsidRPr="00D351BE" w:rsidRDefault="00CF6EFA" w:rsidP="00AA337A">
            <w:pPr>
              <w:spacing w:after="0" w:line="240" w:lineRule="auto"/>
            </w:pPr>
            <w:r w:rsidRPr="00D351BE">
              <w:t>Increased risk of MI/CVA</w:t>
            </w:r>
          </w:p>
        </w:tc>
      </w:tr>
      <w:tr w:rsidR="00CF6EFA" w:rsidRPr="00D351BE" w14:paraId="53610778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 w:val="restart"/>
            <w:shd w:val="clear" w:color="auto" w:fill="auto"/>
            <w:noWrap/>
            <w:hideMark/>
          </w:tcPr>
          <w:p w14:paraId="2D9E05B6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Antiplatelets</w:t>
            </w:r>
          </w:p>
          <w:p w14:paraId="224DF049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 </w:t>
            </w:r>
          </w:p>
          <w:p w14:paraId="2307D9D7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 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14:paraId="7F3CE538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and history of PUD with no gastroprotection </w:t>
            </w:r>
            <w:r>
              <w:rPr>
                <w:noProof/>
              </w:rPr>
              <w:t>(1, 3)</w:t>
            </w:r>
          </w:p>
        </w:tc>
        <w:tc>
          <w:tcPr>
            <w:tcW w:w="1460" w:type="pct"/>
            <w:vMerge w:val="restart"/>
            <w:shd w:val="clear" w:color="auto" w:fill="auto"/>
          </w:tcPr>
          <w:p w14:paraId="5E32868F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GI bleed</w:t>
            </w:r>
          </w:p>
        </w:tc>
      </w:tr>
      <w:tr w:rsidR="00CF6EFA" w:rsidRPr="00D351BE" w14:paraId="5FE7C9B1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4C687989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5F0B48AC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and anticoagulant with no gastroprotection </w:t>
            </w:r>
            <w:r>
              <w:rPr>
                <w:noProof/>
              </w:rPr>
              <w:t>(1, 3)</w:t>
            </w:r>
          </w:p>
        </w:tc>
        <w:tc>
          <w:tcPr>
            <w:tcW w:w="1460" w:type="pct"/>
            <w:vMerge/>
            <w:shd w:val="clear" w:color="auto" w:fill="auto"/>
          </w:tcPr>
          <w:p w14:paraId="4EEFC866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0C45A0C1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5A3186EE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39124D6D" w14:textId="77777777" w:rsidR="00CF6EFA" w:rsidRPr="00D351BE" w:rsidRDefault="00CF6EFA" w:rsidP="00AA337A">
            <w:pPr>
              <w:spacing w:after="0" w:line="240" w:lineRule="auto"/>
            </w:pPr>
            <w:r>
              <w:t>dual antiplatelet therapy</w:t>
            </w:r>
            <w:r w:rsidRPr="00D351BE">
              <w:t xml:space="preserve"> with no gastroprotection </w:t>
            </w:r>
            <w:r>
              <w:rPr>
                <w:noProof/>
              </w:rPr>
              <w:t>(1)</w:t>
            </w:r>
          </w:p>
        </w:tc>
        <w:tc>
          <w:tcPr>
            <w:tcW w:w="1460" w:type="pct"/>
            <w:vMerge/>
            <w:shd w:val="clear" w:color="auto" w:fill="auto"/>
          </w:tcPr>
          <w:p w14:paraId="0E3116D5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10D139AF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</w:tcPr>
          <w:p w14:paraId="6634C881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</w:tcPr>
          <w:p w14:paraId="11FCE624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consider intended duration of treatment if taking dual anti-platelet therapy for over one year post PCI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shd w:val="clear" w:color="auto" w:fill="auto"/>
          </w:tcPr>
          <w:p w14:paraId="2E15AE6C" w14:textId="77777777" w:rsidR="00CF6EFA" w:rsidRPr="00D351BE" w:rsidRDefault="00CF6EFA" w:rsidP="00AA337A">
            <w:pPr>
              <w:spacing w:after="0" w:line="240" w:lineRule="auto"/>
            </w:pPr>
            <w:r w:rsidRPr="00D351BE">
              <w:t>Not usually indicated</w:t>
            </w:r>
          </w:p>
        </w:tc>
      </w:tr>
      <w:tr w:rsidR="00CF6EFA" w:rsidRPr="00D351BE" w14:paraId="622CDFA4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 w:val="restart"/>
            <w:shd w:val="clear" w:color="auto" w:fill="auto"/>
            <w:noWrap/>
            <w:hideMark/>
          </w:tcPr>
          <w:p w14:paraId="459E96E3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Anticoagulants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14:paraId="700F51A9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for first uncomplicated DVT for &gt;6 months duration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vMerge w:val="restart"/>
            <w:shd w:val="clear" w:color="auto" w:fill="auto"/>
          </w:tcPr>
          <w:p w14:paraId="16BCC060" w14:textId="77777777" w:rsidR="00CF6EFA" w:rsidRPr="00D351BE" w:rsidRDefault="00CF6EFA" w:rsidP="00AA337A">
            <w:pPr>
              <w:spacing w:after="0" w:line="240" w:lineRule="auto"/>
            </w:pPr>
            <w:r w:rsidRPr="00D351BE">
              <w:t>Not indicated</w:t>
            </w:r>
          </w:p>
        </w:tc>
      </w:tr>
      <w:tr w:rsidR="00CF6EFA" w:rsidRPr="00D351BE" w14:paraId="6F58B5CC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</w:tcPr>
          <w:p w14:paraId="6E8C7C54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</w:tcPr>
          <w:p w14:paraId="1E8A95FC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for first uncomplicated PE for &gt;12 months duration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vMerge/>
            <w:shd w:val="clear" w:color="auto" w:fill="auto"/>
          </w:tcPr>
          <w:p w14:paraId="45A89493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700F7EC0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</w:tcPr>
          <w:p w14:paraId="3943509D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</w:tcPr>
          <w:p w14:paraId="66787A77" w14:textId="77777777" w:rsidR="00CF6EFA" w:rsidRPr="00D351BE" w:rsidRDefault="00CF6EFA" w:rsidP="00AA337A">
            <w:pPr>
              <w:spacing w:after="0" w:line="240" w:lineRule="auto"/>
            </w:pPr>
            <w:r w:rsidRPr="00D351BE">
              <w:t>dabigatran (Pradaxa) if eGFR &lt;30 ml/min/ 1.73m</w:t>
            </w:r>
            <w:r w:rsidRPr="00D351BE">
              <w:rPr>
                <w:vertAlign w:val="superscript"/>
              </w:rPr>
              <w:t>2</w:t>
            </w:r>
            <w:r w:rsidRPr="00D351BE">
              <w:t xml:space="preserve"> or if renal function is unknown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vMerge w:val="restart"/>
            <w:shd w:val="clear" w:color="auto" w:fill="auto"/>
          </w:tcPr>
          <w:p w14:paraId="36FF027E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bleeding</w:t>
            </w:r>
          </w:p>
        </w:tc>
      </w:tr>
      <w:tr w:rsidR="00CF6EFA" w:rsidRPr="00D351BE" w14:paraId="380C21E4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</w:tcPr>
          <w:p w14:paraId="1D7E89EF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</w:tcPr>
          <w:p w14:paraId="1A7E44CF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rivaroxaban (Xarelto)or apixaban (Eliquis) if eGFR &lt;15 ml/min/ 1.73m</w:t>
            </w:r>
            <w:r w:rsidRPr="00D351BE">
              <w:rPr>
                <w:vertAlign w:val="superscript"/>
              </w:rPr>
              <w:t>2</w:t>
            </w:r>
            <w:r w:rsidRPr="00D351BE">
              <w:t xml:space="preserve"> or if renal function is unknown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vMerge/>
            <w:shd w:val="clear" w:color="auto" w:fill="auto"/>
          </w:tcPr>
          <w:p w14:paraId="79226867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792707B3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 w:val="restart"/>
            <w:shd w:val="clear" w:color="auto" w:fill="auto"/>
            <w:noWrap/>
          </w:tcPr>
          <w:p w14:paraId="447D0603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Diuretics</w:t>
            </w:r>
          </w:p>
        </w:tc>
        <w:tc>
          <w:tcPr>
            <w:tcW w:w="2562" w:type="pct"/>
            <w:shd w:val="clear" w:color="auto" w:fill="auto"/>
            <w:noWrap/>
          </w:tcPr>
          <w:p w14:paraId="0B5C874C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and no U&amp;E check in the last 48 weeks </w:t>
            </w:r>
            <w:r>
              <w:rPr>
                <w:noProof/>
              </w:rPr>
              <w:t>(1)</w:t>
            </w:r>
          </w:p>
        </w:tc>
        <w:tc>
          <w:tcPr>
            <w:tcW w:w="1460" w:type="pct"/>
            <w:vMerge w:val="restart"/>
            <w:shd w:val="clear" w:color="auto" w:fill="auto"/>
          </w:tcPr>
          <w:p w14:paraId="77BF18CA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renal impairment and electrolyte abnormality</w:t>
            </w:r>
          </w:p>
        </w:tc>
      </w:tr>
      <w:tr w:rsidR="00CF6EFA" w:rsidRPr="00D351BE" w14:paraId="3AA14D45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</w:tcPr>
          <w:p w14:paraId="695F43DA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</w:tcPr>
          <w:p w14:paraId="06BAFCB5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loop diuretic and thiazide diuretic and no U&amp;E in the last 24 weeks </w:t>
            </w:r>
            <w:r>
              <w:rPr>
                <w:noProof/>
              </w:rPr>
              <w:t>(1)</w:t>
            </w:r>
          </w:p>
        </w:tc>
        <w:tc>
          <w:tcPr>
            <w:tcW w:w="1460" w:type="pct"/>
            <w:vMerge/>
            <w:shd w:val="clear" w:color="auto" w:fill="auto"/>
          </w:tcPr>
          <w:p w14:paraId="4E7D5E8E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42DE189E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tcBorders>
              <w:bottom w:val="nil"/>
            </w:tcBorders>
            <w:shd w:val="clear" w:color="auto" w:fill="auto"/>
            <w:noWrap/>
          </w:tcPr>
          <w:p w14:paraId="591E282E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</w:tcPr>
          <w:p w14:paraId="74F85DED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loop diuretic for dependent oedema and no heart failure, liver failure or nephrotic  syndrome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shd w:val="clear" w:color="auto" w:fill="auto"/>
          </w:tcPr>
          <w:p w14:paraId="7738388B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Risks usually out-weigh benefits</w:t>
            </w:r>
          </w:p>
        </w:tc>
      </w:tr>
      <w:tr w:rsidR="00CF6EFA" w:rsidRPr="00D351BE" w14:paraId="667DAB25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tcBorders>
              <w:top w:val="nil"/>
            </w:tcBorders>
            <w:shd w:val="clear" w:color="auto" w:fill="auto"/>
            <w:noWrap/>
          </w:tcPr>
          <w:p w14:paraId="5D63436F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</w:tcPr>
          <w:p w14:paraId="441ED197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thiazide diuretic with a history of gout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shd w:val="clear" w:color="auto" w:fill="auto"/>
          </w:tcPr>
          <w:p w14:paraId="6D5B66A5" w14:textId="77777777" w:rsidR="00CF6EFA" w:rsidRPr="00D351BE" w:rsidRDefault="00CF6EFA" w:rsidP="00AA337A">
            <w:pPr>
              <w:spacing w:after="0" w:line="240" w:lineRule="auto"/>
            </w:pPr>
            <w:r w:rsidRPr="00D351BE">
              <w:rPr>
                <w:lang w:val="en-US"/>
              </w:rPr>
              <w:t>Risk of precipitating gout</w:t>
            </w:r>
          </w:p>
        </w:tc>
      </w:tr>
      <w:tr w:rsidR="00CF6EFA" w:rsidRPr="00D351BE" w14:paraId="0382EF3E" w14:textId="77777777" w:rsidTr="00AA337A">
        <w:trPr>
          <w:trHeight w:val="315"/>
        </w:trPr>
        <w:tc>
          <w:tcPr>
            <w:tcW w:w="5000" w:type="pct"/>
            <w:gridSpan w:val="4"/>
            <w:shd w:val="clear" w:color="auto" w:fill="E7E6E6" w:themeFill="background2"/>
            <w:noWrap/>
            <w:vAlign w:val="center"/>
          </w:tcPr>
          <w:p w14:paraId="7E1B9729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Drugs groups associated with morbidity in the elderly</w:t>
            </w:r>
          </w:p>
        </w:tc>
      </w:tr>
      <w:tr w:rsidR="00CF6EFA" w:rsidRPr="00D351BE" w14:paraId="4D8967C9" w14:textId="77777777" w:rsidTr="002B1A91">
        <w:trPr>
          <w:trHeight w:val="315"/>
        </w:trPr>
        <w:tc>
          <w:tcPr>
            <w:tcW w:w="973" w:type="pct"/>
            <w:vMerge w:val="restart"/>
            <w:shd w:val="clear" w:color="auto" w:fill="auto"/>
            <w:noWrap/>
          </w:tcPr>
          <w:p w14:paraId="5120CE00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Anticholinergic drugs</w:t>
            </w:r>
          </w:p>
          <w:p w14:paraId="728BC3D8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 </w:t>
            </w:r>
          </w:p>
        </w:tc>
        <w:tc>
          <w:tcPr>
            <w:tcW w:w="2562" w:type="pct"/>
            <w:shd w:val="clear" w:color="auto" w:fill="auto"/>
            <w:noWrap/>
          </w:tcPr>
          <w:p w14:paraId="76E51A3F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With comorbidities </w:t>
            </w:r>
            <w:r>
              <w:rPr>
                <w:noProof/>
              </w:rPr>
              <w:t>(3)</w:t>
            </w:r>
          </w:p>
          <w:p w14:paraId="4E2CC890" w14:textId="77777777" w:rsidR="00CF6EFA" w:rsidRPr="00D351BE" w:rsidRDefault="00CF6EFA" w:rsidP="00AA337A">
            <w:pPr>
              <w:spacing w:after="0" w:line="240" w:lineRule="auto"/>
              <w:ind w:left="720"/>
            </w:pPr>
            <w:r w:rsidRPr="00D351BE">
              <w:t>Dementia</w:t>
            </w:r>
          </w:p>
          <w:p w14:paraId="271728E3" w14:textId="77777777" w:rsidR="00CF6EFA" w:rsidRPr="00D351BE" w:rsidRDefault="00CF6EFA" w:rsidP="00AA337A">
            <w:pPr>
              <w:spacing w:after="0" w:line="240" w:lineRule="auto"/>
              <w:ind w:left="720"/>
            </w:pPr>
            <w:r w:rsidRPr="00D351BE">
              <w:t>Narrow angle glaucoma</w:t>
            </w:r>
          </w:p>
          <w:p w14:paraId="3E884782" w14:textId="77777777" w:rsidR="00CF6EFA" w:rsidRPr="00D351BE" w:rsidRDefault="00CF6EFA" w:rsidP="00AA337A">
            <w:pPr>
              <w:spacing w:after="0" w:line="240" w:lineRule="auto"/>
              <w:ind w:left="720"/>
            </w:pPr>
            <w:r w:rsidRPr="00D351BE">
              <w:t>Cardiac conduction abnormalities</w:t>
            </w:r>
          </w:p>
          <w:p w14:paraId="0D2C252A" w14:textId="77777777" w:rsidR="00CF6EFA" w:rsidRPr="00D351BE" w:rsidRDefault="00CF6EFA" w:rsidP="00AA337A">
            <w:pPr>
              <w:spacing w:after="0" w:line="240" w:lineRule="auto"/>
              <w:ind w:left="720"/>
            </w:pPr>
            <w:r w:rsidRPr="00D351BE">
              <w:t>Chronic prostatism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719A750D" w14:textId="77777777" w:rsidR="00CF6EFA" w:rsidRPr="00D351BE" w:rsidRDefault="00CF6EFA" w:rsidP="00AA337A">
            <w:pPr>
              <w:spacing w:after="0" w:line="240" w:lineRule="auto"/>
            </w:pPr>
            <w:r w:rsidRPr="00D351BE">
              <w:t>Exacerbation of co-morbidity</w:t>
            </w:r>
          </w:p>
        </w:tc>
      </w:tr>
      <w:tr w:rsidR="00CF6EFA" w:rsidRPr="00D351BE" w14:paraId="38D4549D" w14:textId="77777777" w:rsidTr="002B1A91">
        <w:trPr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2B5F71CC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</w:tcPr>
          <w:p w14:paraId="079D688B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Concomitant use of two or more drugs with anticholinergic properties </w:t>
            </w:r>
            <w:r>
              <w:rPr>
                <w:noProof/>
              </w:rPr>
              <w:t>(2)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3CC05046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anticholinergic toxicity</w:t>
            </w:r>
          </w:p>
        </w:tc>
      </w:tr>
      <w:tr w:rsidR="00CF6EFA" w:rsidRPr="00D351BE" w14:paraId="0BF7E627" w14:textId="77777777" w:rsidTr="002B1A91">
        <w:trPr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44BED3F1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67D59446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tricyclic antidepressant as first line antidepressant </w:t>
            </w:r>
            <w:r>
              <w:rPr>
                <w:noProof/>
              </w:rPr>
              <w:t>(2)</w:t>
            </w:r>
          </w:p>
        </w:tc>
        <w:tc>
          <w:tcPr>
            <w:tcW w:w="1465" w:type="pct"/>
            <w:gridSpan w:val="2"/>
            <w:vMerge w:val="restart"/>
            <w:shd w:val="clear" w:color="auto" w:fill="auto"/>
          </w:tcPr>
          <w:p w14:paraId="07A62576" w14:textId="77777777" w:rsidR="00CF6EFA" w:rsidRPr="00D351BE" w:rsidRDefault="00CF6EFA" w:rsidP="00AA337A">
            <w:pPr>
              <w:spacing w:after="0" w:line="240" w:lineRule="auto"/>
            </w:pPr>
            <w:r w:rsidRPr="00D351BE">
              <w:t>Increased risk of adverse effects in older patients and alternatives available</w:t>
            </w:r>
          </w:p>
        </w:tc>
      </w:tr>
      <w:tr w:rsidR="00CF6EFA" w:rsidRPr="00D351BE" w14:paraId="72636B28" w14:textId="77777777" w:rsidTr="002B1A91">
        <w:trPr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4045282E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38234786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antimuscarinic antihistamine </w:t>
            </w:r>
            <w:r>
              <w:rPr>
                <w:noProof/>
              </w:rPr>
              <w:t>(2)</w:t>
            </w:r>
          </w:p>
        </w:tc>
        <w:tc>
          <w:tcPr>
            <w:tcW w:w="1465" w:type="pct"/>
            <w:gridSpan w:val="2"/>
            <w:vMerge/>
            <w:shd w:val="clear" w:color="auto" w:fill="auto"/>
          </w:tcPr>
          <w:p w14:paraId="3C7BBF37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7478FC10" w14:textId="77777777" w:rsidTr="002B1A91">
        <w:trPr>
          <w:trHeight w:val="315"/>
        </w:trPr>
        <w:tc>
          <w:tcPr>
            <w:tcW w:w="973" w:type="pct"/>
            <w:shd w:val="clear" w:color="auto" w:fill="auto"/>
            <w:noWrap/>
            <w:hideMark/>
          </w:tcPr>
          <w:p w14:paraId="6B12D6FD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Benzodiazepines OR Z drugs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14:paraId="4CCE92AF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for longer than 4 weeks </w:t>
            </w:r>
            <w:r>
              <w:rPr>
                <w:noProof/>
              </w:rPr>
              <w:t>(2)</w:t>
            </w:r>
            <w:r w:rsidRPr="00D351BE">
              <w:t xml:space="preserve"> </w:t>
            </w:r>
            <w:r>
              <w:rPr>
                <w:noProof/>
              </w:rPr>
              <w:t>(1)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2BDE1745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sedation, confusion, impaired balance, falls.</w:t>
            </w:r>
          </w:p>
          <w:p w14:paraId="022F87CA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NNT 13 and NNH 6 when used for insomnia </w:t>
            </w:r>
            <w:r>
              <w:rPr>
                <w:noProof/>
              </w:rPr>
              <w:t>(4)</w:t>
            </w:r>
          </w:p>
        </w:tc>
      </w:tr>
      <w:tr w:rsidR="00CF6EFA" w:rsidRPr="00D351BE" w14:paraId="6C8DE141" w14:textId="77777777" w:rsidTr="002B1A91">
        <w:trPr>
          <w:trHeight w:val="315"/>
        </w:trPr>
        <w:tc>
          <w:tcPr>
            <w:tcW w:w="973" w:type="pct"/>
            <w:shd w:val="clear" w:color="auto" w:fill="auto"/>
            <w:noWrap/>
            <w:hideMark/>
          </w:tcPr>
          <w:p w14:paraId="606AEE0B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Antipsychotics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14:paraId="013B1310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with dementia and no psychosis </w:t>
            </w:r>
            <w:r>
              <w:rPr>
                <w:noProof/>
              </w:rPr>
              <w:t>(1, 2)</w:t>
            </w:r>
          </w:p>
        </w:tc>
        <w:tc>
          <w:tcPr>
            <w:tcW w:w="1465" w:type="pct"/>
            <w:gridSpan w:val="2"/>
            <w:shd w:val="clear" w:color="auto" w:fill="auto"/>
          </w:tcPr>
          <w:p w14:paraId="5256F1FA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Increased risk of stroke, only use when all other means have failed and shortest possible dose for shortest duration </w:t>
            </w:r>
            <w:r>
              <w:rPr>
                <w:noProof/>
              </w:rPr>
              <w:t>(5)</w:t>
            </w:r>
          </w:p>
        </w:tc>
      </w:tr>
      <w:tr w:rsidR="00CF6EFA" w:rsidRPr="00D351BE" w14:paraId="2AE0029B" w14:textId="77777777" w:rsidTr="00AA337A">
        <w:trPr>
          <w:gridAfter w:val="1"/>
          <w:wAfter w:w="5" w:type="pct"/>
          <w:trHeight w:val="315"/>
        </w:trPr>
        <w:tc>
          <w:tcPr>
            <w:tcW w:w="4995" w:type="pct"/>
            <w:gridSpan w:val="3"/>
            <w:shd w:val="clear" w:color="auto" w:fill="E7E6E6" w:themeFill="background2"/>
            <w:noWrap/>
            <w:vAlign w:val="center"/>
          </w:tcPr>
          <w:p w14:paraId="1A077353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Miscellaneous drug groups; included because of prevalence or high risk</w:t>
            </w:r>
          </w:p>
        </w:tc>
      </w:tr>
      <w:tr w:rsidR="00CF6EFA" w:rsidRPr="00D351BE" w14:paraId="3E39B917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 w:val="restart"/>
            <w:shd w:val="clear" w:color="auto" w:fill="auto"/>
            <w:noWrap/>
            <w:hideMark/>
          </w:tcPr>
          <w:p w14:paraId="6ED0CAC6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Methotrexate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14:paraId="5AFFFF4B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not prescribed as weekly </w:t>
            </w:r>
            <w:r>
              <w:rPr>
                <w:noProof/>
              </w:rPr>
              <w:t>(1)</w:t>
            </w:r>
          </w:p>
        </w:tc>
        <w:tc>
          <w:tcPr>
            <w:tcW w:w="1460" w:type="pct"/>
            <w:vMerge w:val="restart"/>
            <w:shd w:val="clear" w:color="auto" w:fill="auto"/>
          </w:tcPr>
          <w:p w14:paraId="29F1D9B5" w14:textId="77777777" w:rsidR="00CF6EFA" w:rsidRPr="00D351BE" w:rsidRDefault="00CF6EFA" w:rsidP="00AA337A">
            <w:pPr>
              <w:spacing w:after="0" w:line="240" w:lineRule="auto"/>
            </w:pPr>
            <w:r w:rsidRPr="00D351BE">
              <w:t>Increased risk of potentially fatal medication errors</w:t>
            </w:r>
          </w:p>
        </w:tc>
      </w:tr>
      <w:tr w:rsidR="00CF6EFA" w:rsidRPr="00D351BE" w14:paraId="2053ADE4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vMerge/>
            <w:shd w:val="clear" w:color="auto" w:fill="auto"/>
            <w:noWrap/>
            <w:hideMark/>
          </w:tcPr>
          <w:p w14:paraId="477E7402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</w:p>
        </w:tc>
        <w:tc>
          <w:tcPr>
            <w:tcW w:w="2562" w:type="pct"/>
            <w:shd w:val="clear" w:color="auto" w:fill="auto"/>
            <w:noWrap/>
            <w:hideMark/>
          </w:tcPr>
          <w:p w14:paraId="59354399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prescribed &gt; 1 strength tablet </w:t>
            </w:r>
            <w:r>
              <w:rPr>
                <w:noProof/>
              </w:rPr>
              <w:t>(1)</w:t>
            </w:r>
          </w:p>
        </w:tc>
        <w:tc>
          <w:tcPr>
            <w:tcW w:w="1460" w:type="pct"/>
            <w:vMerge/>
            <w:shd w:val="clear" w:color="auto" w:fill="auto"/>
          </w:tcPr>
          <w:p w14:paraId="6B6F1A5F" w14:textId="77777777" w:rsidR="00CF6EFA" w:rsidRPr="00D351BE" w:rsidRDefault="00CF6EFA" w:rsidP="00AA337A">
            <w:pPr>
              <w:spacing w:after="0" w:line="240" w:lineRule="auto"/>
            </w:pPr>
          </w:p>
        </w:tc>
      </w:tr>
      <w:tr w:rsidR="00CF6EFA" w:rsidRPr="00D351BE" w14:paraId="4168520B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shd w:val="clear" w:color="auto" w:fill="auto"/>
            <w:noWrap/>
          </w:tcPr>
          <w:p w14:paraId="4542D593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Opioids</w:t>
            </w:r>
          </w:p>
        </w:tc>
        <w:tc>
          <w:tcPr>
            <w:tcW w:w="2562" w:type="pct"/>
            <w:shd w:val="clear" w:color="auto" w:fill="auto"/>
            <w:noWrap/>
          </w:tcPr>
          <w:p w14:paraId="300848C3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used regularly with no laxative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shd w:val="clear" w:color="auto" w:fill="auto"/>
          </w:tcPr>
          <w:p w14:paraId="48DC2AF2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severe constipation</w:t>
            </w:r>
          </w:p>
        </w:tc>
      </w:tr>
      <w:tr w:rsidR="00CF6EFA" w:rsidRPr="00D351BE" w14:paraId="38B72DBD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shd w:val="clear" w:color="auto" w:fill="auto"/>
            <w:noWrap/>
          </w:tcPr>
          <w:p w14:paraId="5A203873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Corticosteroids</w:t>
            </w:r>
          </w:p>
        </w:tc>
        <w:tc>
          <w:tcPr>
            <w:tcW w:w="2562" w:type="pct"/>
            <w:shd w:val="clear" w:color="auto" w:fill="auto"/>
            <w:noWrap/>
          </w:tcPr>
          <w:p w14:paraId="2122866B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use ≥ 12 weeks with no bone protection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shd w:val="clear" w:color="auto" w:fill="auto"/>
          </w:tcPr>
          <w:p w14:paraId="448B8D43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fracture</w:t>
            </w:r>
          </w:p>
        </w:tc>
      </w:tr>
      <w:tr w:rsidR="00CF6EFA" w:rsidRPr="00D351BE" w14:paraId="602A8FE0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shd w:val="clear" w:color="auto" w:fill="auto"/>
            <w:noWrap/>
            <w:hideMark/>
          </w:tcPr>
          <w:p w14:paraId="666282CD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PPI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14:paraId="6C40D5D3" w14:textId="77777777" w:rsidR="00CF6EFA" w:rsidRPr="00D351BE" w:rsidRDefault="00CF6EFA" w:rsidP="00AA337A">
            <w:pPr>
              <w:spacing w:after="0" w:line="240" w:lineRule="auto"/>
            </w:pPr>
            <w:r w:rsidRPr="00D351BE">
              <w:t xml:space="preserve">for uncomplicated PUD/erosive peptic oesophagitis at full therapeutic dose ≥ 8 weeks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shd w:val="clear" w:color="auto" w:fill="auto"/>
          </w:tcPr>
          <w:p w14:paraId="0E57FA50" w14:textId="77777777" w:rsidR="00CF6EFA" w:rsidRPr="00D351BE" w:rsidRDefault="00CF6EFA" w:rsidP="00AA337A">
            <w:pPr>
              <w:spacing w:after="0" w:line="240" w:lineRule="auto"/>
            </w:pPr>
            <w:r w:rsidRPr="00D351BE">
              <w:t>Not indicated</w:t>
            </w:r>
          </w:p>
        </w:tc>
      </w:tr>
      <w:tr w:rsidR="00CF6EFA" w:rsidRPr="00D351BE" w14:paraId="5FA42731" w14:textId="77777777" w:rsidTr="002B1A91">
        <w:trPr>
          <w:gridAfter w:val="1"/>
          <w:wAfter w:w="5" w:type="pct"/>
          <w:trHeight w:val="315"/>
        </w:trPr>
        <w:tc>
          <w:tcPr>
            <w:tcW w:w="973" w:type="pct"/>
            <w:shd w:val="clear" w:color="auto" w:fill="auto"/>
            <w:noWrap/>
          </w:tcPr>
          <w:p w14:paraId="5BDE62C9" w14:textId="77777777" w:rsidR="00CF6EFA" w:rsidRPr="00D351BE" w:rsidRDefault="00CF6EFA" w:rsidP="00AA337A">
            <w:pPr>
              <w:spacing w:after="0" w:line="240" w:lineRule="auto"/>
              <w:rPr>
                <w:b/>
              </w:rPr>
            </w:pPr>
            <w:r w:rsidRPr="00D351BE">
              <w:rPr>
                <w:b/>
              </w:rPr>
              <w:t>Metformin</w:t>
            </w:r>
          </w:p>
        </w:tc>
        <w:tc>
          <w:tcPr>
            <w:tcW w:w="2562" w:type="pct"/>
            <w:shd w:val="clear" w:color="auto" w:fill="auto"/>
            <w:noWrap/>
          </w:tcPr>
          <w:p w14:paraId="7D808DC3" w14:textId="77777777" w:rsidR="00CF6EFA" w:rsidRPr="00D351BE" w:rsidRDefault="00CF6EFA" w:rsidP="00AA337A">
            <w:pPr>
              <w:spacing w:after="0" w:line="240" w:lineRule="auto"/>
            </w:pPr>
            <w:r w:rsidRPr="00D351BE">
              <w:t>with eGFR &lt; 30 ml/min/ 1.73m</w:t>
            </w:r>
            <w:r w:rsidRPr="00D351BE">
              <w:rPr>
                <w:vertAlign w:val="superscript"/>
              </w:rPr>
              <w:t>2</w:t>
            </w:r>
            <w:r w:rsidRPr="00D351BE">
              <w:t xml:space="preserve"> </w:t>
            </w:r>
            <w:r>
              <w:rPr>
                <w:noProof/>
              </w:rPr>
              <w:t>(2)</w:t>
            </w:r>
          </w:p>
        </w:tc>
        <w:tc>
          <w:tcPr>
            <w:tcW w:w="1460" w:type="pct"/>
            <w:shd w:val="clear" w:color="auto" w:fill="auto"/>
          </w:tcPr>
          <w:p w14:paraId="47CB5C63" w14:textId="77777777" w:rsidR="00CF6EFA" w:rsidRPr="00D351BE" w:rsidRDefault="00CF6EFA" w:rsidP="00AA337A">
            <w:pPr>
              <w:spacing w:after="0" w:line="240" w:lineRule="auto"/>
            </w:pPr>
            <w:r w:rsidRPr="00D351BE">
              <w:t>Risk of lactic acidosis</w:t>
            </w:r>
          </w:p>
        </w:tc>
      </w:tr>
    </w:tbl>
    <w:p w14:paraId="37806BDA" w14:textId="77777777" w:rsidR="00CF6EFA" w:rsidRPr="00D351BE" w:rsidRDefault="00CF6EFA" w:rsidP="00CF6EFA">
      <w:pPr>
        <w:spacing w:line="240" w:lineRule="auto"/>
        <w:rPr>
          <w:rFonts w:cstheme="minorHAnsi"/>
          <w:i/>
        </w:rPr>
      </w:pPr>
      <w:r w:rsidRPr="00D351BE">
        <w:rPr>
          <w:rFonts w:cstheme="minorHAnsi"/>
          <w:i/>
        </w:rPr>
        <w:t>Abbreviations: NSAID; non-steroidal anti-inflammatory drug, ACEi; angiotensin converting enzyme inhibitor, ARB; aldosterone receptor blocker, eGFR; estimated glomerular filtration rate, PUD; peptic ulcer disease, GI; gastro-intestinal, MI; myocardial infarction, CVA; cerebrovascular accident, COX-2; cyclooxygenase-2, DVT; deep vein thrombosis, PCI; percutaneous coronary intervention, PE; pulmonary embolism, NNT; number needed to treat, NNH; number needed to harm</w:t>
      </w:r>
    </w:p>
    <w:p w14:paraId="54B656FF" w14:textId="77777777" w:rsidR="00CF6EFA" w:rsidRDefault="00CF6EFA" w:rsidP="00CF6EFA">
      <w:pPr>
        <w:spacing w:line="240" w:lineRule="auto"/>
      </w:pPr>
    </w:p>
    <w:p w14:paraId="72345571" w14:textId="77777777" w:rsidR="00CF6EFA" w:rsidRPr="002F329A" w:rsidRDefault="00CF6EFA" w:rsidP="00CF6EFA">
      <w:pPr>
        <w:pStyle w:val="EndNoteBibliography"/>
        <w:spacing w:after="0"/>
      </w:pPr>
      <w:r w:rsidRPr="002F329A">
        <w:t>1.</w:t>
      </w:r>
      <w:r w:rsidRPr="002F329A">
        <w:tab/>
        <w:t>Dreischulte T, Grant AM, McCowan C, McAnaw JJ, Guthrie B. Quality and safety of medication use in primary care: consensus validation of a new set of explicit medication assessment criteria and prioritisation of topics for improvement. BMC clinical pharmacology. 2012;12:5.</w:t>
      </w:r>
    </w:p>
    <w:p w14:paraId="5CBEC3F7" w14:textId="77777777" w:rsidR="00CF6EFA" w:rsidRPr="002F329A" w:rsidRDefault="00CF6EFA" w:rsidP="00CF6EFA">
      <w:pPr>
        <w:pStyle w:val="EndNoteBibliography"/>
        <w:spacing w:after="0"/>
      </w:pPr>
      <w:r w:rsidRPr="002F329A">
        <w:t>2.</w:t>
      </w:r>
      <w:r w:rsidRPr="002F329A">
        <w:tab/>
        <w:t>O'Mahony D, O'Sullivan D, Byrne S, O'Connor MN, Ryan C, Gallagher P. STOPP/START criteria for potentially inappropriate prescribing in older people: version 2. Age and ageing. 2015;44(2):213-8.</w:t>
      </w:r>
    </w:p>
    <w:p w14:paraId="1D70B492" w14:textId="77777777" w:rsidR="00CF6EFA" w:rsidRPr="002F329A" w:rsidRDefault="00CF6EFA" w:rsidP="00CF6EFA">
      <w:pPr>
        <w:pStyle w:val="EndNoteBibliography"/>
        <w:spacing w:after="0"/>
      </w:pPr>
      <w:r w:rsidRPr="002F329A">
        <w:t>3.</w:t>
      </w:r>
      <w:r w:rsidRPr="002F329A">
        <w:tab/>
        <w:t>Clyne B, Bradley MC, Hughes CM, Clear D, McDonnell R, Williams D, et al. Addressing potentially inappropriate prescribing in older patients: development and pilot study of an intervention in primary care (the OPTI-SCRIPT study). BMC health services research. 2013;13:307.</w:t>
      </w:r>
    </w:p>
    <w:p w14:paraId="07CC16B7" w14:textId="77777777" w:rsidR="00CF6EFA" w:rsidRPr="002F329A" w:rsidRDefault="00CF6EFA" w:rsidP="00CF6EFA">
      <w:pPr>
        <w:pStyle w:val="EndNoteBibliography"/>
        <w:spacing w:after="0"/>
      </w:pPr>
      <w:r w:rsidRPr="002F329A">
        <w:t>4.</w:t>
      </w:r>
      <w:r w:rsidRPr="002F329A">
        <w:tab/>
        <w:t>Glass J, Lanctot KL, Herrmann N, Sproule BA, Busto UE. Sedative hypnotics in older people with insomnia: meta-analysis of risks and benefits. Bmj. 2005;331(7526):1169.</w:t>
      </w:r>
    </w:p>
    <w:p w14:paraId="3B901D82" w14:textId="77777777" w:rsidR="00CF6EFA" w:rsidRPr="00564611" w:rsidRDefault="00CF6EFA" w:rsidP="00CF6EFA">
      <w:pPr>
        <w:pStyle w:val="EndNoteBibliography"/>
      </w:pPr>
      <w:r w:rsidRPr="002F329A">
        <w:t>5.</w:t>
      </w:r>
      <w:r w:rsidRPr="002F329A">
        <w:tab/>
        <w:t xml:space="preserve">Ballard CG, Waite J, Birks J. Atypical antipsychotics for aggression and psychosis in Alzheimer's disease. Cochrane Database </w:t>
      </w:r>
      <w:r>
        <w:t>of Systematic Reviews. 2006(1).</w:t>
      </w:r>
    </w:p>
    <w:p w14:paraId="22C8D274" w14:textId="77777777" w:rsidR="008D6E2F" w:rsidRDefault="008D6E2F"/>
    <w:sectPr w:rsidR="008D6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EE496" w14:textId="77777777" w:rsidR="00CF6EFA" w:rsidRDefault="00CF6EFA" w:rsidP="00CF6EFA">
      <w:pPr>
        <w:spacing w:after="0" w:line="240" w:lineRule="auto"/>
      </w:pPr>
      <w:r>
        <w:separator/>
      </w:r>
    </w:p>
  </w:endnote>
  <w:endnote w:type="continuationSeparator" w:id="0">
    <w:p w14:paraId="3A0428F3" w14:textId="77777777" w:rsidR="00CF6EFA" w:rsidRDefault="00CF6EFA" w:rsidP="00CF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CDE0" w14:textId="77777777" w:rsidR="00CF6EFA" w:rsidRDefault="00CF6EFA" w:rsidP="00CF6EFA">
      <w:pPr>
        <w:spacing w:after="0" w:line="240" w:lineRule="auto"/>
      </w:pPr>
      <w:r>
        <w:separator/>
      </w:r>
    </w:p>
  </w:footnote>
  <w:footnote w:type="continuationSeparator" w:id="0">
    <w:p w14:paraId="05253AAD" w14:textId="77777777" w:rsidR="00CF6EFA" w:rsidRDefault="00CF6EFA" w:rsidP="00CF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FA"/>
    <w:rsid w:val="001822A9"/>
    <w:rsid w:val="002B1A91"/>
    <w:rsid w:val="008D6E2F"/>
    <w:rsid w:val="00A13016"/>
    <w:rsid w:val="00C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CEF7C"/>
  <w15:chartTrackingRefBased/>
  <w15:docId w15:val="{BF31C880-9891-43FB-9719-37195BC1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FA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6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FA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CF6EF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6EFA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B6B33D6FE4459A1E072072E78A19" ma:contentTypeVersion="7" ma:contentTypeDescription="Create a new document." ma:contentTypeScope="" ma:versionID="6c3365492c0bb7beac6625d055a13fac">
  <xsd:schema xmlns:xsd="http://www.w3.org/2001/XMLSchema" xmlns:xs="http://www.w3.org/2001/XMLSchema" xmlns:p="http://schemas.microsoft.com/office/2006/metadata/properties" xmlns:ns3="005beb58-9085-4c7b-8e34-0af5c8b9efb8" xmlns:ns4="27c8a5dd-1c54-44f8-b110-3ed7bd052aa1" targetNamespace="http://schemas.microsoft.com/office/2006/metadata/properties" ma:root="true" ma:fieldsID="7d3b8db597ede6b812a5f35cf0d0133f" ns3:_="" ns4:_="">
    <xsd:import namespace="005beb58-9085-4c7b-8e34-0af5c8b9efb8"/>
    <xsd:import namespace="27c8a5dd-1c54-44f8-b110-3ed7bd052a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eb58-9085-4c7b-8e34-0af5c8b9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a5dd-1c54-44f8-b110-3ed7bd05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A0A4F-538A-4691-A158-452CA787F6EA}">
  <ds:schemaRefs>
    <ds:schemaRef ds:uri="27c8a5dd-1c54-44f8-b110-3ed7bd052aa1"/>
    <ds:schemaRef ds:uri="005beb58-9085-4c7b-8e34-0af5c8b9efb8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E1043C-1F48-4EF6-A05B-A380340C3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beb58-9085-4c7b-8e34-0af5c8b9efb8"/>
    <ds:schemaRef ds:uri="27c8a5dd-1c54-44f8-b110-3ed7bd05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EC53C-445A-4277-8EFA-9115E4E49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McCarthy</dc:creator>
  <cp:keywords/>
  <dc:description/>
  <cp:lastModifiedBy>Caroline McCarthy</cp:lastModifiedBy>
  <cp:revision>4</cp:revision>
  <dcterms:created xsi:type="dcterms:W3CDTF">2021-11-09T22:49:00Z</dcterms:created>
  <dcterms:modified xsi:type="dcterms:W3CDTF">2021-11-09T23:47:00Z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0x0101000C32B6B33D6FE4459A1E072072E78A19</vt:lpwstr>
  </property>
</Properties>
</file>