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D2B0E" w14:textId="5F9D2EA2" w:rsidR="006563C3" w:rsidRPr="0075272B" w:rsidRDefault="006563C3" w:rsidP="0075272B">
      <w:pPr>
        <w:pStyle w:val="Heading1"/>
      </w:pPr>
      <w:r w:rsidRPr="0075272B">
        <w:t>Supporting Information</w:t>
      </w:r>
      <w:r w:rsidR="001C7A05" w:rsidRPr="0075272B">
        <w:t xml:space="preserve"> S</w:t>
      </w:r>
      <w:r w:rsidR="00AF28A8" w:rsidRPr="0075272B">
        <w:t>2</w:t>
      </w:r>
      <w:r w:rsidR="0075272B" w:rsidRPr="0075272B">
        <w:t xml:space="preserve">: </w:t>
      </w:r>
      <w:r w:rsidRPr="0075272B">
        <w:t>Estimation of wage and schooling returns to cognitive abilities</w:t>
      </w:r>
    </w:p>
    <w:p w14:paraId="763993A5" w14:textId="77777777" w:rsidR="006563C3" w:rsidRDefault="006563C3" w:rsidP="006563C3">
      <w:pPr>
        <w:rPr>
          <w:b/>
          <w:bCs/>
        </w:rPr>
      </w:pPr>
    </w:p>
    <w:p w14:paraId="19E21FCC" w14:textId="77777777" w:rsidR="006563C3" w:rsidRPr="006C40FB" w:rsidRDefault="006563C3" w:rsidP="006563C3">
      <w:pPr>
        <w:spacing w:line="480" w:lineRule="auto"/>
        <w:rPr>
          <w:b/>
          <w:bCs/>
        </w:rPr>
      </w:pPr>
      <w:r>
        <w:t xml:space="preserve">The </w:t>
      </w:r>
      <w:r w:rsidRPr="000264A9">
        <w:t>Kenya Life Panel Survey</w:t>
      </w:r>
      <w:r>
        <w:t xml:space="preserve"> (KLPS)</w:t>
      </w:r>
      <w:r w:rsidRPr="000264A9">
        <w:t xml:space="preserve"> </w:t>
      </w:r>
      <w:r>
        <w:t>collects</w:t>
      </w:r>
      <w:r w:rsidRPr="000264A9">
        <w:t xml:space="preserve"> longitudinal </w:t>
      </w:r>
      <w:r>
        <w:t>data</w:t>
      </w:r>
      <w:r w:rsidRPr="000264A9">
        <w:t xml:space="preserve"> </w:t>
      </w:r>
      <w:r w:rsidRPr="00F03DB0">
        <w:rPr>
          <w:color w:val="000000" w:themeColor="text1"/>
          <w:shd w:val="clear" w:color="auto" w:fill="FFFFFF"/>
        </w:rPr>
        <w:t xml:space="preserve">for a representative sample of more than 5,000 individuals </w:t>
      </w:r>
      <w:r>
        <w:rPr>
          <w:color w:val="000000" w:themeColor="text1"/>
          <w:shd w:val="clear" w:color="auto" w:fill="FFFFFF"/>
        </w:rPr>
        <w:t xml:space="preserve">participating of the Primary School Deworming Project (PSDP) </w:t>
      </w:r>
      <w:r w:rsidRPr="00F03DB0">
        <w:rPr>
          <w:color w:val="000000" w:themeColor="text1"/>
          <w:shd w:val="clear" w:color="auto" w:fill="FFFFFF"/>
        </w:rPr>
        <w:t>i</w:t>
      </w:r>
      <w:r>
        <w:rPr>
          <w:color w:val="000000" w:themeColor="text1"/>
          <w:shd w:val="clear" w:color="auto" w:fill="FFFFFF"/>
        </w:rPr>
        <w:t>mplemented across 75 primary schools from the Busia District in Western Kenya between 1997-2001. We utilize data on</w:t>
      </w:r>
      <w:r w:rsidRPr="000264A9">
        <w:t xml:space="preserve"> cogni</w:t>
      </w:r>
      <w:r>
        <w:t>ti</w:t>
      </w:r>
      <w:r w:rsidRPr="000264A9">
        <w:t>ve tests</w:t>
      </w:r>
      <w:r>
        <w:t xml:space="preserve"> such as the Raven Matrices and vocabulary tests collected </w:t>
      </w:r>
      <w:r>
        <w:rPr>
          <w:color w:val="000000" w:themeColor="text1"/>
          <w:shd w:val="clear" w:color="auto" w:fill="FFFFFF"/>
        </w:rPr>
        <w:t xml:space="preserve">in rounds 1-3 </w:t>
      </w:r>
      <w:r>
        <w:t xml:space="preserve">(2003-2005, 2007-2009, 2011-2014), as well as data on schooling attainment, earnings when individuals are already collected in round 4 (2018-2019). In our regressions we restrict the sample to individuals assigned to the control group of the PSDP to avoid the inclusion of final outcomes affected by the intervention.  </w:t>
      </w:r>
    </w:p>
    <w:p w14:paraId="12EA9C85" w14:textId="77777777" w:rsidR="006563C3" w:rsidRPr="006C40FB" w:rsidRDefault="006563C3" w:rsidP="006563C3">
      <w:pPr>
        <w:spacing w:line="480" w:lineRule="auto"/>
        <w:rPr>
          <w:b/>
          <w:bCs/>
        </w:rPr>
      </w:pPr>
    </w:p>
    <w:p w14:paraId="4D8351C3" w14:textId="2F227CDA" w:rsidR="006563C3" w:rsidRPr="00FB5EB5" w:rsidRDefault="006563C3" w:rsidP="006563C3">
      <w:pPr>
        <w:spacing w:line="480" w:lineRule="auto"/>
      </w:pPr>
      <w:r>
        <w:t xml:space="preserve">Based on a sample of N=904 individuals from the control group with data on annual earnings in KLPS-4, and on cognitive tests in KLPS-1, KLPS-2, or KLPS-3, we estimate regressions of log-annual earnings on an age-standardized cognitive index controlling for covariates and we predict that a one SD increase in cognition is associated with a 39.7% increase in annual earnings (Table </w:t>
      </w:r>
      <w:r w:rsidR="00AF28A8">
        <w:t>A</w:t>
      </w:r>
      <w:r>
        <w:t xml:space="preserve">, column 1). The cognitive index is estimated using latent factor models including data from the Raven’s Progressive Matrices and English language scores. Covariates </w:t>
      </w:r>
      <w:r w:rsidRPr="00FB5EB5">
        <w:t xml:space="preserve">include </w:t>
      </w:r>
      <w:r>
        <w:t xml:space="preserve">parental education, </w:t>
      </w:r>
      <w:r w:rsidRPr="00FB5EB5">
        <w:rPr>
          <w:rFonts w:eastAsiaTheme="minorHAnsi"/>
        </w:rPr>
        <w:t>survey wave and month of interview, a female indicator variable, and baseline 1998 school grade fixed effects</w:t>
      </w:r>
      <w:r>
        <w:t xml:space="preserve">. </w:t>
      </w:r>
      <w:r w:rsidRPr="00FB5EB5">
        <w:t xml:space="preserve"> </w:t>
      </w:r>
    </w:p>
    <w:p w14:paraId="41E48F90" w14:textId="77777777" w:rsidR="006563C3" w:rsidRDefault="006563C3" w:rsidP="006563C3">
      <w:pPr>
        <w:spacing w:line="480" w:lineRule="auto"/>
      </w:pPr>
    </w:p>
    <w:p w14:paraId="78646C76" w14:textId="3808F709" w:rsidR="006563C3" w:rsidRDefault="006563C3" w:rsidP="006563C3">
      <w:pPr>
        <w:spacing w:line="480" w:lineRule="auto"/>
      </w:pPr>
      <w:r>
        <w:t xml:space="preserve">Similarly, based on a sample of N=1,130 individuals with available schooling attainment data in KLPS-4 and cognitive measures in previous rounds, we estimate that a one SD increase in cognition is associated with 1.79 additional years of schooling after controlling for the same covariates (Table </w:t>
      </w:r>
      <w:r w:rsidR="00AF28A8">
        <w:t>A</w:t>
      </w:r>
      <w:r>
        <w:t xml:space="preserve">, column 2). </w:t>
      </w:r>
    </w:p>
    <w:p w14:paraId="3FA1F350" w14:textId="77777777" w:rsidR="006563C3" w:rsidRDefault="006563C3" w:rsidP="006563C3"/>
    <w:p w14:paraId="4300150F" w14:textId="0B0739A2" w:rsidR="006563C3" w:rsidRDefault="006563C3" w:rsidP="006563C3">
      <w:r w:rsidRPr="006C40FB">
        <w:rPr>
          <w:b/>
          <w:bCs/>
        </w:rPr>
        <w:t xml:space="preserve">Table </w:t>
      </w:r>
      <w:r w:rsidR="00AF28A8">
        <w:rPr>
          <w:b/>
          <w:bCs/>
        </w:rPr>
        <w:t>A</w:t>
      </w:r>
      <w:r w:rsidRPr="006C40FB">
        <w:rPr>
          <w:b/>
          <w:bCs/>
        </w:rPr>
        <w:t>: Wage and Schooling Returns to Cognition</w:t>
      </w:r>
    </w:p>
    <w:tbl>
      <w:tblPr>
        <w:tblW w:w="7320" w:type="dxa"/>
        <w:jc w:val="center"/>
        <w:tblLook w:val="04A0" w:firstRow="1" w:lastRow="0" w:firstColumn="1" w:lastColumn="0" w:noHBand="0" w:noVBand="1"/>
      </w:tblPr>
      <w:tblGrid>
        <w:gridCol w:w="3220"/>
        <w:gridCol w:w="2140"/>
        <w:gridCol w:w="1960"/>
      </w:tblGrid>
      <w:tr w:rsidR="006563C3" w:rsidRPr="00A43DE5" w14:paraId="29B4439E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C7D9" w14:textId="77777777" w:rsidR="006563C3" w:rsidRPr="00A43DE5" w:rsidRDefault="006563C3" w:rsidP="00933601">
            <w:pPr>
              <w:rPr>
                <w:rFonts w:ascii="Calibri" w:hAnsi="Calibri" w:cs="Calibri"/>
                <w:color w:val="000000"/>
              </w:rPr>
            </w:pPr>
            <w:r w:rsidRPr="00A43DE5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3C327" w14:textId="77777777" w:rsidR="006563C3" w:rsidRPr="00A43DE5" w:rsidRDefault="006563C3" w:rsidP="009336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43DE5">
              <w:rPr>
                <w:rFonts w:ascii="Calibri" w:hAnsi="Calibri" w:cs="Calibri"/>
                <w:color w:val="000000"/>
              </w:rPr>
              <w:t>(1)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5143" w14:textId="77777777" w:rsidR="006563C3" w:rsidRPr="00A43DE5" w:rsidRDefault="006563C3" w:rsidP="00933601">
            <w:pPr>
              <w:jc w:val="center"/>
              <w:rPr>
                <w:rFonts w:ascii="Calibri" w:hAnsi="Calibri" w:cs="Calibri"/>
                <w:color w:val="000000"/>
              </w:rPr>
            </w:pPr>
            <w:r w:rsidRPr="00A43DE5">
              <w:rPr>
                <w:rFonts w:ascii="Calibri" w:hAnsi="Calibri" w:cs="Calibri"/>
                <w:color w:val="000000"/>
              </w:rPr>
              <w:t>(2)</w:t>
            </w:r>
          </w:p>
        </w:tc>
      </w:tr>
      <w:tr w:rsidR="006563C3" w:rsidRPr="00A43DE5" w14:paraId="163BD178" w14:textId="77777777" w:rsidTr="00933601">
        <w:trPr>
          <w:trHeight w:val="340"/>
          <w:jc w:val="center"/>
        </w:trPr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392DACB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061C8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Log Annual Earnings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2140CCC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Years of Schooling</w:t>
            </w:r>
          </w:p>
        </w:tc>
      </w:tr>
      <w:tr w:rsidR="006563C3" w:rsidRPr="00A43DE5" w14:paraId="5E4028F2" w14:textId="77777777" w:rsidTr="00933601">
        <w:trPr>
          <w:trHeight w:val="34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F9687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Cognition Index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9E79C9" w14:textId="2F3AAAD5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0.397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B2C519" w14:textId="78B882F2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1.7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563C3" w:rsidRPr="00A43DE5" w14:paraId="60E98CA5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6FB616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5870B7" w14:textId="77777777" w:rsidR="006563C3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(0.058)</w:t>
            </w:r>
          </w:p>
          <w:p w14:paraId="7EA95297" w14:textId="06EA4B08" w:rsidR="00E12372" w:rsidRPr="00A43DE5" w:rsidRDefault="00E12372" w:rsidP="00933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C24536" w14:textId="77777777" w:rsidR="006563C3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(0.12)</w:t>
            </w:r>
          </w:p>
          <w:p w14:paraId="40D25A93" w14:textId="62050B42" w:rsidR="00E12372" w:rsidRPr="00A43DE5" w:rsidRDefault="00E12372" w:rsidP="00933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p&lt;0.001</w:t>
            </w:r>
          </w:p>
        </w:tc>
      </w:tr>
      <w:tr w:rsidR="006563C3" w:rsidRPr="00A43DE5" w14:paraId="48BC4DB7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58E93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Parents' Average Education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FB882E" w14:textId="59846863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0.54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3FA0B" w14:textId="47A57C26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0.1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563C3" w:rsidRPr="00A43DE5" w14:paraId="1037B2DC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FE3786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0F3BDE" w14:textId="77777777" w:rsidR="006563C3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(0.016)</w:t>
            </w:r>
          </w:p>
          <w:p w14:paraId="05A50BEA" w14:textId="26FFFAAD" w:rsidR="00E12372" w:rsidRPr="00A43DE5" w:rsidRDefault="00E12372" w:rsidP="00933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p&lt;0.001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797D44" w14:textId="77777777" w:rsidR="006563C3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(0.03)</w:t>
            </w:r>
          </w:p>
          <w:p w14:paraId="27C6C9C8" w14:textId="6971430B" w:rsidR="00E12372" w:rsidRPr="00A43DE5" w:rsidRDefault="00E12372" w:rsidP="009336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p&lt;0.001</w:t>
            </w:r>
          </w:p>
        </w:tc>
      </w:tr>
      <w:tr w:rsidR="006563C3" w:rsidRPr="00A43DE5" w14:paraId="43C3F2F1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D5540D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Outcome Mean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63E0D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6.873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8775EE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9</w:t>
            </w:r>
            <w:r>
              <w:rPr>
                <w:color w:val="000000"/>
                <w:sz w:val="22"/>
                <w:szCs w:val="22"/>
              </w:rPr>
              <w:t>.3</w:t>
            </w:r>
          </w:p>
        </w:tc>
      </w:tr>
      <w:tr w:rsidR="006563C3" w:rsidRPr="00A43DE5" w14:paraId="01B08029" w14:textId="77777777" w:rsidTr="00933601">
        <w:trPr>
          <w:trHeight w:val="320"/>
          <w:jc w:val="center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4BEC54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Cognition Mean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B6381F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-0.014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3BC6E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-0.014</w:t>
            </w:r>
          </w:p>
        </w:tc>
      </w:tr>
      <w:tr w:rsidR="006563C3" w:rsidRPr="00A43DE5" w14:paraId="4E1D7D8D" w14:textId="77777777" w:rsidTr="00933601">
        <w:trPr>
          <w:trHeight w:val="340"/>
          <w:jc w:val="center"/>
        </w:trPr>
        <w:tc>
          <w:tcPr>
            <w:tcW w:w="32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316136" w14:textId="77777777" w:rsidR="006563C3" w:rsidRPr="00A43DE5" w:rsidRDefault="006563C3" w:rsidP="00933601">
            <w:pPr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Number of Observations</w:t>
            </w:r>
          </w:p>
        </w:tc>
        <w:tc>
          <w:tcPr>
            <w:tcW w:w="214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6B36EC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1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C26F8A5" w14:textId="77777777" w:rsidR="006563C3" w:rsidRPr="00A43DE5" w:rsidRDefault="006563C3" w:rsidP="00933601">
            <w:pPr>
              <w:jc w:val="center"/>
              <w:rPr>
                <w:color w:val="000000"/>
                <w:sz w:val="22"/>
                <w:szCs w:val="22"/>
              </w:rPr>
            </w:pPr>
            <w:r w:rsidRPr="00A43DE5">
              <w:rPr>
                <w:color w:val="000000"/>
                <w:sz w:val="22"/>
                <w:szCs w:val="22"/>
              </w:rPr>
              <w:t>1130</w:t>
            </w:r>
          </w:p>
        </w:tc>
      </w:tr>
    </w:tbl>
    <w:p w14:paraId="0DE08967" w14:textId="2815AE63" w:rsidR="006563C3" w:rsidRDefault="006563C3" w:rsidP="006563C3">
      <w:pPr>
        <w:autoSpaceDE w:val="0"/>
        <w:autoSpaceDN w:val="0"/>
        <w:adjustRightInd w:val="0"/>
        <w:rPr>
          <w:b/>
          <w:bCs/>
        </w:rPr>
      </w:pPr>
      <w:r w:rsidRPr="00C41A6A">
        <w:rPr>
          <w:sz w:val="20"/>
          <w:szCs w:val="20"/>
        </w:rPr>
        <w:t>Note</w:t>
      </w:r>
      <w:r>
        <w:rPr>
          <w:sz w:val="20"/>
          <w:szCs w:val="20"/>
        </w:rPr>
        <w:t xml:space="preserve">s: </w:t>
      </w:r>
      <w:r w:rsidR="00E12372">
        <w:rPr>
          <w:sz w:val="20"/>
          <w:szCs w:val="20"/>
        </w:rPr>
        <w:t>Standard Errors in parentheses with p-values noted below</w:t>
      </w:r>
      <w:r w:rsidR="009B260B">
        <w:rPr>
          <w:sz w:val="20"/>
          <w:szCs w:val="20"/>
        </w:rPr>
        <w:t xml:space="preserve">. </w:t>
      </w:r>
      <w:r w:rsidRPr="00C41A6A">
        <w:rPr>
          <w:rFonts w:eastAsiaTheme="minorHAnsi"/>
          <w:sz w:val="20"/>
          <w:szCs w:val="20"/>
        </w:rPr>
        <w:t>Sample restricted to the KLPS deworming control group</w:t>
      </w:r>
      <w:r>
        <w:rPr>
          <w:rFonts w:eastAsiaTheme="minorHAnsi"/>
          <w:sz w:val="20"/>
          <w:szCs w:val="20"/>
        </w:rPr>
        <w:t>. Log earnings and years of schooling data obtained combining information from KLPS rounds 3 and 4.</w:t>
      </w:r>
      <w:r w:rsidRPr="00C41A6A">
        <w:rPr>
          <w:rFonts w:eastAsiaTheme="minorHAnsi"/>
          <w:sz w:val="20"/>
          <w:szCs w:val="20"/>
        </w:rPr>
        <w:t xml:space="preserve"> </w:t>
      </w:r>
      <w:r w:rsidRPr="00104186">
        <w:rPr>
          <w:rFonts w:eastAsiaTheme="minorHAnsi"/>
          <w:sz w:val="20"/>
          <w:szCs w:val="20"/>
        </w:rPr>
        <w:t xml:space="preserve">The Cognition Index combines </w:t>
      </w:r>
      <w:r>
        <w:rPr>
          <w:rFonts w:eastAsiaTheme="minorHAnsi"/>
          <w:sz w:val="20"/>
          <w:szCs w:val="20"/>
        </w:rPr>
        <w:t xml:space="preserve">data from </w:t>
      </w:r>
      <w:r w:rsidRPr="00104186">
        <w:rPr>
          <w:rFonts w:eastAsiaTheme="minorHAnsi"/>
          <w:sz w:val="20"/>
          <w:szCs w:val="20"/>
        </w:rPr>
        <w:t>the Raven's Index</w:t>
      </w:r>
      <w:r>
        <w:rPr>
          <w:rFonts w:eastAsiaTheme="minorHAnsi"/>
          <w:sz w:val="20"/>
          <w:szCs w:val="20"/>
        </w:rPr>
        <w:t xml:space="preserve"> rounds 1-3 </w:t>
      </w:r>
      <w:r w:rsidRPr="00104186">
        <w:rPr>
          <w:rFonts w:eastAsiaTheme="minorHAnsi"/>
          <w:sz w:val="20"/>
          <w:szCs w:val="20"/>
        </w:rPr>
        <w:t>with Swahili (KLPS-1) and English vocab</w:t>
      </w:r>
      <w:r>
        <w:rPr>
          <w:rFonts w:eastAsiaTheme="minorHAnsi"/>
          <w:sz w:val="20"/>
          <w:szCs w:val="20"/>
        </w:rPr>
        <w:t xml:space="preserve"> </w:t>
      </w:r>
      <w:r w:rsidRPr="00104186">
        <w:rPr>
          <w:rFonts w:eastAsiaTheme="minorHAnsi"/>
          <w:sz w:val="20"/>
          <w:szCs w:val="20"/>
        </w:rPr>
        <w:t>tests (KLPS-1,2).</w:t>
      </w:r>
      <w:r>
        <w:rPr>
          <w:rFonts w:eastAsiaTheme="minorHAnsi"/>
          <w:sz w:val="20"/>
          <w:szCs w:val="20"/>
        </w:rPr>
        <w:t xml:space="preserve"> The </w:t>
      </w:r>
      <w:r w:rsidRPr="00C41A6A">
        <w:rPr>
          <w:rFonts w:eastAsiaTheme="minorHAnsi"/>
          <w:sz w:val="20"/>
          <w:szCs w:val="20"/>
        </w:rPr>
        <w:t>Raven's Index is demeaned</w:t>
      </w:r>
      <w:r w:rsidR="001C7A05">
        <w:rPr>
          <w:rFonts w:eastAsiaTheme="minorHAnsi"/>
          <w:sz w:val="20"/>
          <w:szCs w:val="20"/>
        </w:rPr>
        <w:t xml:space="preserve"> </w:t>
      </w:r>
      <w:r w:rsidRPr="006C40FB">
        <w:rPr>
          <w:rFonts w:eastAsiaTheme="minorHAnsi"/>
          <w:sz w:val="20"/>
          <w:szCs w:val="20"/>
        </w:rPr>
        <w:t>by age</w:t>
      </w:r>
      <w:r>
        <w:rPr>
          <w:rFonts w:eastAsiaTheme="minorHAnsi"/>
          <w:sz w:val="20"/>
          <w:szCs w:val="20"/>
        </w:rPr>
        <w:t>, where the ag</w:t>
      </w:r>
      <w:r w:rsidRPr="006C40FB">
        <w:rPr>
          <w:rFonts w:eastAsiaTheme="minorHAnsi"/>
          <w:sz w:val="20"/>
          <w:szCs w:val="20"/>
        </w:rPr>
        <w:t>e groups used for demeaning are 18-19, 20-21, 22-23, 24-25, 26-27, 28-29, 30-31, and above</w:t>
      </w:r>
      <w:r w:rsidR="001C7A05">
        <w:rPr>
          <w:rFonts w:eastAsiaTheme="minorHAnsi"/>
          <w:sz w:val="20"/>
          <w:szCs w:val="20"/>
        </w:rPr>
        <w:t xml:space="preserve"> </w:t>
      </w:r>
      <w:r w:rsidRPr="006C40FB">
        <w:rPr>
          <w:rFonts w:eastAsiaTheme="minorHAnsi"/>
          <w:sz w:val="20"/>
          <w:szCs w:val="20"/>
        </w:rPr>
        <w:t>32. Parents' Average Education is the average</w:t>
      </w:r>
      <w:r>
        <w:rPr>
          <w:rFonts w:eastAsiaTheme="minorHAnsi"/>
          <w:sz w:val="20"/>
          <w:szCs w:val="20"/>
        </w:rPr>
        <w:t xml:space="preserve"> </w:t>
      </w:r>
      <w:r w:rsidRPr="006C40FB">
        <w:rPr>
          <w:rFonts w:eastAsiaTheme="minorHAnsi"/>
          <w:sz w:val="20"/>
          <w:szCs w:val="20"/>
        </w:rPr>
        <w:t>of the highest years of schooling attained by the parents of the KLPS respondent. Covariates include controls for the survey wave and month of</w:t>
      </w:r>
      <w:r>
        <w:rPr>
          <w:rFonts w:eastAsiaTheme="minorHAnsi"/>
          <w:sz w:val="20"/>
          <w:szCs w:val="20"/>
        </w:rPr>
        <w:t xml:space="preserve"> </w:t>
      </w:r>
      <w:r w:rsidRPr="006C40FB">
        <w:rPr>
          <w:rFonts w:eastAsiaTheme="minorHAnsi"/>
          <w:sz w:val="20"/>
          <w:szCs w:val="20"/>
        </w:rPr>
        <w:t xml:space="preserve">interview, a female indicator variable, and baseline 1998 school grade </w:t>
      </w:r>
      <w:r>
        <w:rPr>
          <w:rFonts w:eastAsiaTheme="minorHAnsi"/>
          <w:sz w:val="20"/>
          <w:szCs w:val="20"/>
        </w:rPr>
        <w:t>fixed effects</w:t>
      </w:r>
      <w:r w:rsidRPr="006C40FB">
        <w:rPr>
          <w:rFonts w:eastAsiaTheme="minorHAnsi"/>
          <w:sz w:val="20"/>
          <w:szCs w:val="20"/>
        </w:rPr>
        <w:t>. Observations are</w:t>
      </w:r>
      <w:r>
        <w:rPr>
          <w:rFonts w:eastAsiaTheme="minorHAnsi"/>
          <w:sz w:val="20"/>
          <w:szCs w:val="20"/>
        </w:rPr>
        <w:t xml:space="preserve"> </w:t>
      </w:r>
      <w:r w:rsidRPr="006C40FB">
        <w:rPr>
          <w:rFonts w:eastAsiaTheme="minorHAnsi"/>
          <w:sz w:val="20"/>
          <w:szCs w:val="20"/>
        </w:rPr>
        <w:t xml:space="preserve">weighted to be representative of the original </w:t>
      </w:r>
      <w:r>
        <w:rPr>
          <w:rFonts w:eastAsiaTheme="minorHAnsi"/>
          <w:sz w:val="20"/>
          <w:szCs w:val="20"/>
        </w:rPr>
        <w:t>Deworming Project P</w:t>
      </w:r>
      <w:r w:rsidRPr="006C40FB">
        <w:rPr>
          <w:rFonts w:eastAsiaTheme="minorHAnsi"/>
          <w:sz w:val="20"/>
          <w:szCs w:val="20"/>
        </w:rPr>
        <w:t>opulation</w:t>
      </w:r>
      <w:r>
        <w:rPr>
          <w:rFonts w:eastAsiaTheme="minorHAnsi"/>
          <w:sz w:val="20"/>
          <w:szCs w:val="20"/>
        </w:rPr>
        <w:t xml:space="preserve"> in Siaya County, Western Kenya. </w:t>
      </w:r>
    </w:p>
    <w:p w14:paraId="7A03F24E" w14:textId="77777777" w:rsidR="006563C3" w:rsidRDefault="006563C3" w:rsidP="006563C3">
      <w:pPr>
        <w:spacing w:after="160" w:line="259" w:lineRule="auto"/>
        <w:rPr>
          <w:b/>
          <w:bCs/>
        </w:rPr>
      </w:pPr>
    </w:p>
    <w:p w14:paraId="7C7A4FA6" w14:textId="1B8EC934" w:rsidR="00E6282C" w:rsidRDefault="00E6282C" w:rsidP="0075272B">
      <w:pPr>
        <w:spacing w:after="240"/>
        <w:outlineLvl w:val="1"/>
      </w:pPr>
    </w:p>
    <w:sectPr w:rsidR="00E6282C" w:rsidSect="009F2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738CC" w14:textId="77777777" w:rsidR="00D10E86" w:rsidRDefault="00D10E86" w:rsidP="006563C3">
      <w:r>
        <w:separator/>
      </w:r>
    </w:p>
  </w:endnote>
  <w:endnote w:type="continuationSeparator" w:id="0">
    <w:p w14:paraId="0A78DC10" w14:textId="77777777" w:rsidR="00D10E86" w:rsidRDefault="00D10E86" w:rsidP="00656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F31030" w14:textId="77777777" w:rsidR="00D10E86" w:rsidRDefault="00D10E86" w:rsidP="006563C3">
      <w:r>
        <w:separator/>
      </w:r>
    </w:p>
  </w:footnote>
  <w:footnote w:type="continuationSeparator" w:id="0">
    <w:p w14:paraId="4C2447E2" w14:textId="77777777" w:rsidR="00D10E86" w:rsidRDefault="00D10E86" w:rsidP="00656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14E77"/>
    <w:multiLevelType w:val="hybridMultilevel"/>
    <w:tmpl w:val="9EC2184E"/>
    <w:lvl w:ilvl="0" w:tplc="10EC745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3C3"/>
    <w:rsid w:val="00065381"/>
    <w:rsid w:val="001C7A05"/>
    <w:rsid w:val="00210776"/>
    <w:rsid w:val="00251F05"/>
    <w:rsid w:val="00492FFA"/>
    <w:rsid w:val="005C7498"/>
    <w:rsid w:val="006563C3"/>
    <w:rsid w:val="006977E0"/>
    <w:rsid w:val="0075272B"/>
    <w:rsid w:val="00766247"/>
    <w:rsid w:val="009B260B"/>
    <w:rsid w:val="00AF28A8"/>
    <w:rsid w:val="00BE37D0"/>
    <w:rsid w:val="00D10E86"/>
    <w:rsid w:val="00D142C3"/>
    <w:rsid w:val="00E12372"/>
    <w:rsid w:val="00E6282C"/>
    <w:rsid w:val="00E91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509DE"/>
  <w15:chartTrackingRefBased/>
  <w15:docId w15:val="{299E5359-E663-4768-B584-13F59781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3C3"/>
    <w:pPr>
      <w:outlineLvl w:val="0"/>
    </w:pPr>
    <w:rPr>
      <w:b/>
      <w:szCs w:val="2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563C3"/>
    <w:pPr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6563C3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3C3"/>
    <w:rPr>
      <w:rFonts w:ascii="Times New Roman" w:eastAsia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63C3"/>
    <w:rPr>
      <w:rFonts w:ascii="Times New Roman" w:eastAsia="Times New Roman" w:hAnsi="Times New Roman" w:cs="Times New Roman"/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6563C3"/>
    <w:rPr>
      <w:rFonts w:ascii="Times New Roman" w:eastAsia="Times New Roman" w:hAnsi="Times New Roman" w:cs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6563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rsid w:val="00656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656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3C3"/>
    <w:rPr>
      <w:rFonts w:ascii="Times New Roman" w:eastAsia="Times New Roman" w:hAnsi="Times New Roman" w:cs="Times New Roman"/>
      <w:sz w:val="20"/>
      <w:szCs w:val="20"/>
    </w:rPr>
  </w:style>
  <w:style w:type="paragraph" w:customStyle="1" w:styleId="p1">
    <w:name w:val="p1"/>
    <w:basedOn w:val="Normal"/>
    <w:rsid w:val="006563C3"/>
    <w:rPr>
      <w:rFonts w:ascii="Helvetica" w:eastAsiaTheme="minorHAnsi" w:hAnsi="Helvetica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Luoto, Jill</dc:creator>
  <cp:keywords/>
  <dc:description/>
  <cp:lastModifiedBy>Jill Luoto</cp:lastModifiedBy>
  <cp:revision>3</cp:revision>
  <dcterms:created xsi:type="dcterms:W3CDTF">2021-08-12T16:57:00Z</dcterms:created>
  <dcterms:modified xsi:type="dcterms:W3CDTF">2021-08-12T16:58:00Z</dcterms:modified>
</cp:coreProperties>
</file>