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9456" w14:textId="77777777" w:rsidR="00CD6AFD" w:rsidRPr="00CD6AFD" w:rsidRDefault="00CD6AFD" w:rsidP="00CD6AFD">
      <w:pPr>
        <w:shd w:val="clear" w:color="auto" w:fill="FFFFFF"/>
        <w:adjustRightInd w:val="0"/>
        <w:snapToGrid w:val="0"/>
        <w:spacing w:line="480" w:lineRule="auto"/>
        <w:jc w:val="center"/>
        <w:outlineLvl w:val="2"/>
        <w:rPr>
          <w:rFonts w:ascii="Arial" w:eastAsia="宋体" w:hAnsi="Arial" w:cs="Arial"/>
          <w:b/>
          <w:bCs/>
          <w:color w:val="000000"/>
          <w:sz w:val="24"/>
          <w:szCs w:val="24"/>
        </w:rPr>
      </w:pPr>
      <w:r w:rsidRPr="00CD6AFD">
        <w:rPr>
          <w:rFonts w:ascii="Arial" w:eastAsia="宋体" w:hAnsi="Arial" w:cs="Arial"/>
          <w:b/>
          <w:bCs/>
          <w:color w:val="000000"/>
          <w:sz w:val="24"/>
          <w:szCs w:val="24"/>
        </w:rPr>
        <w:t xml:space="preserve">Utility of </w:t>
      </w:r>
      <w:proofErr w:type="spellStart"/>
      <w:r w:rsidRPr="00CD6AFD">
        <w:rPr>
          <w:rFonts w:ascii="Arial" w:eastAsia="宋体" w:hAnsi="Arial" w:cs="Arial"/>
          <w:b/>
          <w:bCs/>
          <w:color w:val="000000"/>
          <w:sz w:val="24"/>
          <w:szCs w:val="24"/>
        </w:rPr>
        <w:t>ctDNA</w:t>
      </w:r>
      <w:proofErr w:type="spellEnd"/>
      <w:r w:rsidRPr="00CD6AFD">
        <w:rPr>
          <w:rFonts w:ascii="Arial" w:eastAsia="宋体" w:hAnsi="Arial" w:cs="Arial"/>
          <w:b/>
          <w:bCs/>
          <w:color w:val="000000"/>
          <w:sz w:val="24"/>
          <w:szCs w:val="24"/>
        </w:rPr>
        <w:t xml:space="preserve"> in Predicting Response to Neoadjuvant Chemoradiotherapy and Prognosis Assessment in Locally Advanced Rectal Cancer</w:t>
      </w:r>
      <w:r w:rsidRPr="00CD6AFD">
        <w:rPr>
          <w:rFonts w:ascii="Arial" w:eastAsia="宋体" w:hAnsi="Times New Roman" w:cs="Arial"/>
          <w:b/>
          <w:bCs/>
          <w:color w:val="000000"/>
          <w:sz w:val="24"/>
          <w:szCs w:val="24"/>
        </w:rPr>
        <w:t>：</w:t>
      </w:r>
      <w:r w:rsidRPr="00CD6AFD">
        <w:rPr>
          <w:rFonts w:ascii="Arial" w:eastAsia="宋体" w:hAnsi="Arial" w:cs="Arial"/>
          <w:b/>
          <w:bCs/>
          <w:color w:val="000000"/>
          <w:sz w:val="24"/>
          <w:szCs w:val="24"/>
        </w:rPr>
        <w:t>A Prospective Cohort Study</w:t>
      </w:r>
    </w:p>
    <w:p w14:paraId="6BEA8846" w14:textId="77777777" w:rsidR="0092474C" w:rsidRPr="00CD6AFD" w:rsidRDefault="0092474C" w:rsidP="00BA4E0C">
      <w:pPr>
        <w:rPr>
          <w:rFonts w:ascii="Helvetica" w:hAnsi="Helvetica" w:cs="Helvetica"/>
          <w:color w:val="000000" w:themeColor="text1"/>
        </w:rPr>
      </w:pPr>
    </w:p>
    <w:p w14:paraId="1F7AC7E3" w14:textId="77777777" w:rsidR="008778A7" w:rsidRPr="009428A4" w:rsidRDefault="00D57AAD" w:rsidP="00BA4E0C">
      <w:pPr>
        <w:rPr>
          <w:rFonts w:ascii="Arial" w:hAnsi="Arial" w:cs="Arial"/>
          <w:b/>
          <w:sz w:val="24"/>
          <w:szCs w:val="24"/>
        </w:rPr>
      </w:pPr>
      <w:r w:rsidRPr="009428A4">
        <w:rPr>
          <w:rFonts w:ascii="Arial" w:hAnsi="Arial" w:cs="Arial"/>
          <w:b/>
          <w:sz w:val="24"/>
          <w:szCs w:val="24"/>
        </w:rPr>
        <w:t xml:space="preserve">Statistical analysis plan </w:t>
      </w:r>
    </w:p>
    <w:p w14:paraId="44531D04" w14:textId="77777777" w:rsidR="00626BB5" w:rsidRPr="009428A4" w:rsidRDefault="00DF7C32" w:rsidP="00BA4E0C">
      <w:pPr>
        <w:rPr>
          <w:rFonts w:ascii="Arial" w:hAnsi="Arial" w:cs="Arial"/>
          <w:b/>
          <w:sz w:val="24"/>
          <w:szCs w:val="24"/>
        </w:rPr>
      </w:pPr>
      <w:r w:rsidRPr="009428A4">
        <w:rPr>
          <w:rFonts w:ascii="Arial" w:eastAsiaTheme="minorEastAsia" w:hAnsi="Arial" w:cs="Arial"/>
          <w:b/>
          <w:sz w:val="24"/>
          <w:szCs w:val="24"/>
          <w:lang w:eastAsia="zh-CN"/>
        </w:rPr>
        <w:t>Aim 1</w:t>
      </w:r>
      <w:r w:rsidR="00AD6026" w:rsidRPr="009428A4">
        <w:rPr>
          <w:rFonts w:ascii="Arial" w:hAnsi="Arial" w:cs="Arial"/>
          <w:b/>
          <w:sz w:val="24"/>
          <w:szCs w:val="24"/>
        </w:rPr>
        <w:t xml:space="preserve"> </w:t>
      </w:r>
      <w:r w:rsidR="008012AD">
        <w:rPr>
          <w:rFonts w:ascii="Arial" w:hAnsi="Arial" w:cs="Arial"/>
          <w:b/>
          <w:sz w:val="24"/>
          <w:szCs w:val="24"/>
        </w:rPr>
        <w:t>–</w:t>
      </w:r>
      <w:r w:rsidRPr="009428A4">
        <w:rPr>
          <w:rFonts w:ascii="Arial" w:hAnsi="Arial" w:cs="Arial"/>
          <w:b/>
          <w:sz w:val="24"/>
          <w:szCs w:val="24"/>
        </w:rPr>
        <w:t xml:space="preserve"> </w:t>
      </w:r>
      <w:r w:rsidR="008012AD">
        <w:rPr>
          <w:rFonts w:ascii="Arial" w:eastAsiaTheme="minorEastAsia" w:hAnsi="Arial" w:cs="Arial" w:hint="eastAsia"/>
          <w:sz w:val="24"/>
          <w:szCs w:val="24"/>
          <w:lang w:eastAsia="zh-CN"/>
        </w:rPr>
        <w:t>t</w:t>
      </w:r>
      <w:r w:rsidR="008012AD" w:rsidRPr="008012AD">
        <w:rPr>
          <w:rFonts w:ascii="Arial" w:eastAsiaTheme="minorEastAsia" w:hAnsi="Arial" w:cs="Arial" w:hint="eastAsia"/>
          <w:sz w:val="24"/>
          <w:szCs w:val="24"/>
          <w:lang w:eastAsia="zh-CN"/>
        </w:rPr>
        <w:t>o</w:t>
      </w:r>
      <w:r w:rsidR="008012AD">
        <w:rPr>
          <w:rFonts w:ascii="Arial" w:eastAsiaTheme="minorEastAsia" w:hAnsi="Arial" w:cs="Arial" w:hint="eastAsia"/>
          <w:b/>
          <w:sz w:val="24"/>
          <w:szCs w:val="24"/>
          <w:lang w:eastAsia="zh-CN"/>
        </w:rPr>
        <w:t xml:space="preserve"> </w:t>
      </w:r>
      <w:r w:rsidR="008012AD">
        <w:rPr>
          <w:rFonts w:ascii="Arial" w:eastAsiaTheme="minorEastAsia" w:hAnsi="Arial" w:cs="Arial" w:hint="eastAsia"/>
          <w:sz w:val="24"/>
          <w:szCs w:val="24"/>
          <w:lang w:eastAsia="zh-CN"/>
        </w:rPr>
        <w:t>i</w:t>
      </w:r>
      <w:r w:rsidRPr="009428A4">
        <w:rPr>
          <w:rFonts w:ascii="Arial" w:hAnsi="Arial" w:cs="Arial"/>
          <w:sz w:val="24"/>
          <w:szCs w:val="24"/>
        </w:rPr>
        <w:t>nvestigate</w:t>
      </w:r>
      <w:r w:rsidRPr="009428A4">
        <w:rPr>
          <w:rFonts w:ascii="Arial" w:eastAsiaTheme="minorEastAsia" w:hAnsi="Arial" w:cs="Arial"/>
          <w:sz w:val="24"/>
          <w:szCs w:val="24"/>
          <w:lang w:eastAsia="zh-CN"/>
        </w:rPr>
        <w:t xml:space="preserve"> the association of clinicopathological features and </w:t>
      </w:r>
      <w:proofErr w:type="spellStart"/>
      <w:r w:rsidRPr="009428A4">
        <w:rPr>
          <w:rFonts w:ascii="Arial" w:eastAsiaTheme="minorEastAsia" w:hAnsi="Arial" w:cs="Arial"/>
          <w:sz w:val="24"/>
          <w:szCs w:val="24"/>
          <w:lang w:eastAsia="zh-CN"/>
        </w:rPr>
        <w:t>ctDNA</w:t>
      </w:r>
      <w:proofErr w:type="spellEnd"/>
      <w:r w:rsidRPr="009428A4">
        <w:rPr>
          <w:rFonts w:ascii="Arial" w:eastAsiaTheme="minorEastAsia" w:hAnsi="Arial" w:cs="Arial"/>
          <w:sz w:val="24"/>
          <w:szCs w:val="24"/>
          <w:lang w:eastAsia="zh-CN"/>
        </w:rPr>
        <w:t xml:space="preserve"> features with the response to </w:t>
      </w:r>
      <w:proofErr w:type="spellStart"/>
      <w:r w:rsidRPr="009428A4">
        <w:rPr>
          <w:rFonts w:ascii="Arial" w:eastAsiaTheme="minorEastAsia" w:hAnsi="Arial" w:cs="Arial"/>
          <w:sz w:val="24"/>
          <w:szCs w:val="24"/>
          <w:lang w:eastAsia="zh-CN"/>
        </w:rPr>
        <w:t>nCRT</w:t>
      </w:r>
      <w:proofErr w:type="spellEnd"/>
      <w:r w:rsidR="00AD6026" w:rsidRPr="009428A4">
        <w:rPr>
          <w:rFonts w:ascii="Arial" w:hAnsi="Arial" w:cs="Arial"/>
          <w:sz w:val="24"/>
          <w:szCs w:val="24"/>
        </w:rPr>
        <w:t>.</w:t>
      </w:r>
    </w:p>
    <w:p w14:paraId="438CFC38" w14:textId="46A971C7" w:rsidR="00BA4E0C" w:rsidRPr="009428A4" w:rsidRDefault="00DF7C32" w:rsidP="00BA4E0C">
      <w:pPr>
        <w:pStyle w:val="a3"/>
        <w:numPr>
          <w:ilvl w:val="0"/>
          <w:numId w:val="1"/>
        </w:numPr>
        <w:rPr>
          <w:rFonts w:ascii="Arial" w:hAnsi="Arial" w:cs="Arial"/>
          <w:sz w:val="24"/>
          <w:szCs w:val="24"/>
        </w:rPr>
      </w:pPr>
      <w:r w:rsidRPr="009428A4">
        <w:rPr>
          <w:rFonts w:ascii="Arial" w:eastAsiaTheme="minorEastAsia" w:hAnsi="Arial" w:cs="Arial"/>
          <w:sz w:val="24"/>
          <w:szCs w:val="24"/>
          <w:lang w:eastAsia="zh-CN"/>
        </w:rPr>
        <w:t xml:space="preserve">Distribution of patients with </w:t>
      </w:r>
      <w:r w:rsidR="00894FFA">
        <w:rPr>
          <w:rFonts w:ascii="Arial" w:eastAsiaTheme="minorEastAsia" w:hAnsi="Arial" w:cs="Arial" w:hint="eastAsia"/>
          <w:sz w:val="24"/>
          <w:szCs w:val="24"/>
          <w:lang w:eastAsia="zh-CN"/>
        </w:rPr>
        <w:t xml:space="preserve">certain </w:t>
      </w:r>
      <w:r w:rsidRPr="009428A4">
        <w:rPr>
          <w:rFonts w:ascii="Arial" w:eastAsiaTheme="minorEastAsia" w:hAnsi="Arial" w:cs="Arial"/>
          <w:sz w:val="24"/>
          <w:szCs w:val="24"/>
          <w:lang w:eastAsia="zh-CN"/>
        </w:rPr>
        <w:t xml:space="preserve">baseline clinicopathological features in </w:t>
      </w:r>
      <w:proofErr w:type="spellStart"/>
      <w:r w:rsidRPr="009428A4">
        <w:rPr>
          <w:rFonts w:ascii="Arial" w:eastAsiaTheme="minorEastAsia" w:hAnsi="Arial" w:cs="Arial"/>
          <w:sz w:val="24"/>
          <w:szCs w:val="24"/>
          <w:lang w:eastAsia="zh-CN"/>
        </w:rPr>
        <w:t>pCR</w:t>
      </w:r>
      <w:proofErr w:type="spellEnd"/>
      <w:r w:rsidRPr="009428A4">
        <w:rPr>
          <w:rFonts w:ascii="Arial" w:eastAsiaTheme="minorEastAsia" w:hAnsi="Arial" w:cs="Arial"/>
          <w:sz w:val="24"/>
          <w:szCs w:val="24"/>
          <w:lang w:eastAsia="zh-CN"/>
        </w:rPr>
        <w:t xml:space="preserve">/non-PCR group, features including age, </w:t>
      </w:r>
      <w:r w:rsidR="00BE362E">
        <w:rPr>
          <w:rFonts w:ascii="Arial" w:eastAsia="宋体" w:hAnsi="Arial" w:cs="Arial" w:hint="eastAsia"/>
          <w:sz w:val="24"/>
          <w:szCs w:val="24"/>
          <w:lang w:eastAsia="zh-CN"/>
        </w:rPr>
        <w:t>sex</w:t>
      </w:r>
      <w:r w:rsidRPr="009428A4">
        <w:rPr>
          <w:rFonts w:ascii="Arial" w:eastAsiaTheme="minorEastAsia" w:hAnsi="Arial" w:cs="Arial"/>
          <w:sz w:val="24"/>
          <w:szCs w:val="24"/>
          <w:lang w:eastAsia="zh-CN"/>
        </w:rPr>
        <w:t xml:space="preserve">, clinical stage, MRF, EVMI and </w:t>
      </w:r>
      <w:proofErr w:type="spellStart"/>
      <w:r w:rsidRPr="009428A4">
        <w:rPr>
          <w:rFonts w:ascii="Arial" w:eastAsiaTheme="minorEastAsia" w:hAnsi="Arial" w:cs="Arial"/>
          <w:sz w:val="24"/>
          <w:szCs w:val="24"/>
          <w:lang w:eastAsia="zh-CN"/>
        </w:rPr>
        <w:t>mrTRG</w:t>
      </w:r>
      <w:proofErr w:type="spellEnd"/>
      <w:r w:rsidRPr="009428A4">
        <w:rPr>
          <w:rFonts w:ascii="Arial" w:eastAsiaTheme="minorEastAsia" w:hAnsi="Arial" w:cs="Arial"/>
          <w:sz w:val="24"/>
          <w:szCs w:val="24"/>
          <w:lang w:eastAsia="zh-CN"/>
        </w:rPr>
        <w:t xml:space="preserve"> grade (Fisher exact test)</w:t>
      </w:r>
      <w:r w:rsidR="00E65F1F" w:rsidRPr="009428A4">
        <w:rPr>
          <w:rFonts w:ascii="Arial" w:hAnsi="Arial" w:cs="Arial"/>
          <w:sz w:val="24"/>
          <w:szCs w:val="24"/>
        </w:rPr>
        <w:t xml:space="preserve">. </w:t>
      </w:r>
      <w:r w:rsidR="00BA4E0C" w:rsidRPr="009428A4">
        <w:rPr>
          <w:rFonts w:ascii="Arial" w:hAnsi="Arial" w:cs="Arial"/>
          <w:sz w:val="24"/>
          <w:szCs w:val="24"/>
        </w:rPr>
        <w:t xml:space="preserve">  </w:t>
      </w:r>
      <w:r w:rsidRPr="009428A4">
        <w:rPr>
          <w:rFonts w:ascii="Arial" w:eastAsiaTheme="minorEastAsia" w:hAnsi="Arial" w:cs="Arial"/>
          <w:sz w:val="24"/>
          <w:szCs w:val="24"/>
          <w:lang w:eastAsia="zh-CN"/>
        </w:rPr>
        <w:t xml:space="preserve">Association of baseline clinicopathological features with the </w:t>
      </w:r>
      <w:proofErr w:type="spellStart"/>
      <w:r w:rsidRPr="009428A4">
        <w:rPr>
          <w:rFonts w:ascii="Arial" w:eastAsiaTheme="minorEastAsia" w:hAnsi="Arial" w:cs="Arial"/>
          <w:sz w:val="24"/>
          <w:szCs w:val="24"/>
          <w:lang w:eastAsia="zh-CN"/>
        </w:rPr>
        <w:t>pCR</w:t>
      </w:r>
      <w:proofErr w:type="spellEnd"/>
      <w:r w:rsidRPr="009428A4">
        <w:rPr>
          <w:rFonts w:ascii="Arial" w:eastAsiaTheme="minorEastAsia" w:hAnsi="Arial" w:cs="Arial"/>
          <w:sz w:val="24"/>
          <w:szCs w:val="24"/>
          <w:lang w:eastAsia="zh-CN"/>
        </w:rPr>
        <w:t>/non-</w:t>
      </w:r>
      <w:proofErr w:type="spellStart"/>
      <w:r w:rsidRPr="009428A4">
        <w:rPr>
          <w:rFonts w:ascii="Arial" w:eastAsiaTheme="minorEastAsia" w:hAnsi="Arial" w:cs="Arial"/>
          <w:sz w:val="24"/>
          <w:szCs w:val="24"/>
          <w:lang w:eastAsia="zh-CN"/>
        </w:rPr>
        <w:t>pCR</w:t>
      </w:r>
      <w:proofErr w:type="spellEnd"/>
      <w:r w:rsidRPr="009428A4">
        <w:rPr>
          <w:rFonts w:ascii="Arial" w:eastAsiaTheme="minorEastAsia" w:hAnsi="Arial" w:cs="Arial"/>
          <w:sz w:val="24"/>
          <w:szCs w:val="24"/>
          <w:lang w:eastAsia="zh-CN"/>
        </w:rPr>
        <w:t xml:space="preserve"> status (logistic regression). </w:t>
      </w:r>
    </w:p>
    <w:p w14:paraId="12B4BB0D" w14:textId="77777777" w:rsidR="00D76038" w:rsidRPr="009428A4" w:rsidRDefault="00DF7C32" w:rsidP="00D76038">
      <w:pPr>
        <w:pStyle w:val="a3"/>
        <w:numPr>
          <w:ilvl w:val="0"/>
          <w:numId w:val="1"/>
        </w:numPr>
        <w:rPr>
          <w:rFonts w:ascii="Arial" w:hAnsi="Arial" w:cs="Arial"/>
          <w:sz w:val="24"/>
          <w:szCs w:val="24"/>
        </w:rPr>
      </w:pPr>
      <w:r w:rsidRPr="009428A4">
        <w:rPr>
          <w:rFonts w:ascii="Arial" w:eastAsiaTheme="minorEastAsia" w:hAnsi="Arial" w:cs="Arial"/>
          <w:sz w:val="24"/>
          <w:szCs w:val="24"/>
          <w:lang w:eastAsia="zh-CN"/>
        </w:rPr>
        <w:t xml:space="preserve">Distribution of patients with certain baseline </w:t>
      </w:r>
      <w:proofErr w:type="spellStart"/>
      <w:r w:rsidRPr="009428A4">
        <w:rPr>
          <w:rFonts w:ascii="Arial" w:eastAsiaTheme="minorEastAsia" w:hAnsi="Arial" w:cs="Arial"/>
          <w:sz w:val="24"/>
          <w:szCs w:val="24"/>
          <w:lang w:eastAsia="zh-CN"/>
        </w:rPr>
        <w:t>ctDNA</w:t>
      </w:r>
      <w:proofErr w:type="spellEnd"/>
      <w:r w:rsidRPr="009428A4">
        <w:rPr>
          <w:rFonts w:ascii="Arial" w:eastAsiaTheme="minorEastAsia" w:hAnsi="Arial" w:cs="Arial"/>
          <w:sz w:val="24"/>
          <w:szCs w:val="24"/>
          <w:lang w:eastAsia="zh-CN"/>
        </w:rPr>
        <w:t xml:space="preserve"> features in </w:t>
      </w:r>
      <w:proofErr w:type="spellStart"/>
      <w:r w:rsidRPr="009428A4">
        <w:rPr>
          <w:rFonts w:ascii="Arial" w:eastAsiaTheme="minorEastAsia" w:hAnsi="Arial" w:cs="Arial"/>
          <w:sz w:val="24"/>
          <w:szCs w:val="24"/>
          <w:lang w:eastAsia="zh-CN"/>
        </w:rPr>
        <w:t>pCR</w:t>
      </w:r>
      <w:proofErr w:type="spellEnd"/>
      <w:r w:rsidRPr="009428A4">
        <w:rPr>
          <w:rFonts w:ascii="Arial" w:eastAsiaTheme="minorEastAsia" w:hAnsi="Arial" w:cs="Arial"/>
          <w:sz w:val="24"/>
          <w:szCs w:val="24"/>
          <w:lang w:eastAsia="zh-CN"/>
        </w:rPr>
        <w:t>/non-</w:t>
      </w:r>
      <w:proofErr w:type="spellStart"/>
      <w:r w:rsidRPr="009428A4">
        <w:rPr>
          <w:rFonts w:ascii="Arial" w:eastAsiaTheme="minorEastAsia" w:hAnsi="Arial" w:cs="Arial"/>
          <w:sz w:val="24"/>
          <w:szCs w:val="24"/>
          <w:lang w:eastAsia="zh-CN"/>
        </w:rPr>
        <w:t>pCR</w:t>
      </w:r>
      <w:proofErr w:type="spellEnd"/>
      <w:r w:rsidRPr="009428A4">
        <w:rPr>
          <w:rFonts w:ascii="Arial" w:eastAsiaTheme="minorEastAsia" w:hAnsi="Arial" w:cs="Arial"/>
          <w:sz w:val="24"/>
          <w:szCs w:val="24"/>
          <w:lang w:eastAsia="zh-CN"/>
        </w:rPr>
        <w:t xml:space="preserve"> groups or various </w:t>
      </w:r>
      <w:proofErr w:type="spellStart"/>
      <w:r w:rsidRPr="009428A4">
        <w:rPr>
          <w:rFonts w:ascii="Arial" w:eastAsiaTheme="minorEastAsia" w:hAnsi="Arial" w:cs="Arial"/>
          <w:sz w:val="24"/>
          <w:szCs w:val="24"/>
          <w:lang w:eastAsia="zh-CN"/>
        </w:rPr>
        <w:t>pTRG</w:t>
      </w:r>
      <w:proofErr w:type="spellEnd"/>
      <w:r w:rsidRPr="009428A4">
        <w:rPr>
          <w:rFonts w:ascii="Arial" w:eastAsiaTheme="minorEastAsia" w:hAnsi="Arial" w:cs="Arial"/>
          <w:sz w:val="24"/>
          <w:szCs w:val="24"/>
          <w:lang w:eastAsia="zh-CN"/>
        </w:rPr>
        <w:t xml:space="preserve"> groups</w:t>
      </w:r>
      <w:r w:rsidR="009428A4" w:rsidRPr="009428A4">
        <w:rPr>
          <w:rFonts w:ascii="Arial" w:eastAsiaTheme="minorEastAsia" w:hAnsi="Arial" w:cs="Arial"/>
          <w:sz w:val="24"/>
          <w:szCs w:val="24"/>
          <w:lang w:eastAsia="zh-CN"/>
        </w:rPr>
        <w:t xml:space="preserve"> (Fisher exact test and </w:t>
      </w:r>
      <w:r w:rsidR="009428A4" w:rsidRPr="009428A4">
        <w:rPr>
          <w:rStyle w:val="a6"/>
          <w:rFonts w:ascii="Arial" w:eastAsia="宋体" w:hAnsi="Arial" w:cs="Arial"/>
          <w:i w:val="0"/>
          <w:sz w:val="24"/>
          <w:szCs w:val="24"/>
          <w:shd w:val="clear" w:color="auto" w:fill="FFFFFF"/>
        </w:rPr>
        <w:t>Cochran-Armitage trend test</w:t>
      </w:r>
      <w:r w:rsidR="009428A4" w:rsidRPr="009428A4">
        <w:rPr>
          <w:rStyle w:val="a6"/>
          <w:rFonts w:ascii="Arial" w:eastAsia="宋体" w:hAnsi="Arial" w:cs="Arial"/>
          <w:i w:val="0"/>
          <w:sz w:val="24"/>
          <w:szCs w:val="24"/>
          <w:shd w:val="clear" w:color="auto" w:fill="FFFFFF"/>
          <w:lang w:eastAsia="zh-CN"/>
        </w:rPr>
        <w:t>)</w:t>
      </w:r>
      <w:r w:rsidR="00D76038" w:rsidRPr="009428A4">
        <w:rPr>
          <w:rFonts w:ascii="Arial" w:hAnsi="Arial" w:cs="Arial"/>
          <w:sz w:val="24"/>
          <w:szCs w:val="24"/>
        </w:rPr>
        <w:t>.</w:t>
      </w:r>
      <w:r w:rsidRPr="009428A4">
        <w:rPr>
          <w:rFonts w:ascii="Arial" w:eastAsiaTheme="minorEastAsia" w:hAnsi="Arial" w:cs="Arial"/>
          <w:sz w:val="24"/>
          <w:szCs w:val="24"/>
          <w:lang w:eastAsia="zh-CN"/>
        </w:rPr>
        <w:t xml:space="preserve"> </w:t>
      </w:r>
      <w:r w:rsidR="008012AD">
        <w:rPr>
          <w:rFonts w:ascii="Arial" w:eastAsiaTheme="minorEastAsia" w:hAnsi="Arial" w:cs="Arial" w:hint="eastAsia"/>
          <w:sz w:val="24"/>
          <w:szCs w:val="24"/>
          <w:lang w:eastAsia="zh-CN"/>
        </w:rPr>
        <w:t xml:space="preserve">Association of baseline </w:t>
      </w:r>
      <w:proofErr w:type="spellStart"/>
      <w:r w:rsidR="008012AD">
        <w:rPr>
          <w:rFonts w:ascii="Arial" w:eastAsiaTheme="minorEastAsia" w:hAnsi="Arial" w:cs="Arial" w:hint="eastAsia"/>
          <w:sz w:val="24"/>
          <w:szCs w:val="24"/>
          <w:lang w:eastAsia="zh-CN"/>
        </w:rPr>
        <w:t>ctDNA</w:t>
      </w:r>
      <w:proofErr w:type="spellEnd"/>
      <w:r w:rsidR="008012AD">
        <w:rPr>
          <w:rFonts w:ascii="Arial" w:eastAsiaTheme="minorEastAsia" w:hAnsi="Arial" w:cs="Arial" w:hint="eastAsia"/>
          <w:sz w:val="24"/>
          <w:szCs w:val="24"/>
          <w:lang w:eastAsia="zh-CN"/>
        </w:rPr>
        <w:t xml:space="preserve"> features with </w:t>
      </w:r>
      <w:proofErr w:type="spellStart"/>
      <w:r w:rsidR="008012AD">
        <w:rPr>
          <w:rFonts w:ascii="Arial" w:eastAsiaTheme="minorEastAsia" w:hAnsi="Arial" w:cs="Arial" w:hint="eastAsia"/>
          <w:sz w:val="24"/>
          <w:szCs w:val="24"/>
          <w:lang w:eastAsia="zh-CN"/>
        </w:rPr>
        <w:t>pCR</w:t>
      </w:r>
      <w:proofErr w:type="spellEnd"/>
      <w:r w:rsidR="008012AD">
        <w:rPr>
          <w:rFonts w:ascii="Arial" w:eastAsiaTheme="minorEastAsia" w:hAnsi="Arial" w:cs="Arial" w:hint="eastAsia"/>
          <w:sz w:val="24"/>
          <w:szCs w:val="24"/>
          <w:lang w:eastAsia="zh-CN"/>
        </w:rPr>
        <w:t>/non-</w:t>
      </w:r>
      <w:proofErr w:type="spellStart"/>
      <w:r w:rsidR="008012AD">
        <w:rPr>
          <w:rFonts w:ascii="Arial" w:eastAsiaTheme="minorEastAsia" w:hAnsi="Arial" w:cs="Arial" w:hint="eastAsia"/>
          <w:sz w:val="24"/>
          <w:szCs w:val="24"/>
          <w:lang w:eastAsia="zh-CN"/>
        </w:rPr>
        <w:t>pCR</w:t>
      </w:r>
      <w:proofErr w:type="spellEnd"/>
      <w:r w:rsidR="008012AD">
        <w:rPr>
          <w:rFonts w:ascii="Arial" w:eastAsiaTheme="minorEastAsia" w:hAnsi="Arial" w:cs="Arial" w:hint="eastAsia"/>
          <w:sz w:val="24"/>
          <w:szCs w:val="24"/>
          <w:lang w:eastAsia="zh-CN"/>
        </w:rPr>
        <w:t xml:space="preserve"> status (logistic regression). </w:t>
      </w:r>
      <w:r w:rsidRPr="009428A4">
        <w:rPr>
          <w:rFonts w:ascii="Arial" w:eastAsiaTheme="minorEastAsia" w:hAnsi="Arial" w:cs="Arial"/>
          <w:sz w:val="24"/>
          <w:szCs w:val="24"/>
          <w:lang w:eastAsia="zh-CN"/>
        </w:rPr>
        <w:t xml:space="preserve">Baseline </w:t>
      </w:r>
      <w:proofErr w:type="spellStart"/>
      <w:r w:rsidRPr="009428A4">
        <w:rPr>
          <w:rFonts w:ascii="Arial" w:eastAsiaTheme="minorEastAsia" w:hAnsi="Arial" w:cs="Arial"/>
          <w:sz w:val="24"/>
          <w:szCs w:val="24"/>
          <w:lang w:eastAsia="zh-CN"/>
        </w:rPr>
        <w:t>ctDNA</w:t>
      </w:r>
      <w:proofErr w:type="spellEnd"/>
      <w:r w:rsidRPr="009428A4">
        <w:rPr>
          <w:rFonts w:ascii="Arial" w:eastAsiaTheme="minorEastAsia" w:hAnsi="Arial" w:cs="Arial"/>
          <w:sz w:val="24"/>
          <w:szCs w:val="24"/>
          <w:lang w:eastAsia="zh-CN"/>
        </w:rPr>
        <w:t xml:space="preserve"> features include detectability of baseline mutations,</w:t>
      </w:r>
      <w:r w:rsidR="008012AD">
        <w:rPr>
          <w:rFonts w:ascii="Arial" w:eastAsiaTheme="minorEastAsia" w:hAnsi="Arial" w:cs="Arial" w:hint="eastAsia"/>
          <w:sz w:val="24"/>
          <w:szCs w:val="24"/>
          <w:lang w:eastAsia="zh-CN"/>
        </w:rPr>
        <w:t xml:space="preserve"> detection of</w:t>
      </w:r>
      <w:r w:rsidRPr="009428A4">
        <w:rPr>
          <w:rFonts w:ascii="Arial" w:eastAsiaTheme="minorEastAsia" w:hAnsi="Arial" w:cs="Arial"/>
          <w:sz w:val="24"/>
          <w:szCs w:val="24"/>
          <w:lang w:eastAsia="zh-CN"/>
        </w:rPr>
        <w:t xml:space="preserve"> gene</w:t>
      </w:r>
      <w:r w:rsidR="008012AD">
        <w:rPr>
          <w:rFonts w:ascii="Arial" w:eastAsiaTheme="minorEastAsia" w:hAnsi="Arial" w:cs="Arial" w:hint="eastAsia"/>
          <w:sz w:val="24"/>
          <w:szCs w:val="24"/>
          <w:lang w:eastAsia="zh-CN"/>
        </w:rPr>
        <w:t xml:space="preserve"> mutation, </w:t>
      </w:r>
      <w:r w:rsidR="00894FFA">
        <w:rPr>
          <w:rFonts w:ascii="Arial" w:eastAsiaTheme="minorEastAsia" w:hAnsi="Arial" w:cs="Arial"/>
          <w:sz w:val="24"/>
          <w:szCs w:val="24"/>
          <w:lang w:eastAsia="zh-CN"/>
        </w:rPr>
        <w:t>and detection</w:t>
      </w:r>
      <w:r w:rsidR="008012AD">
        <w:rPr>
          <w:rFonts w:ascii="Arial" w:eastAsiaTheme="minorEastAsia" w:hAnsi="Arial" w:cs="Arial" w:hint="eastAsia"/>
          <w:sz w:val="24"/>
          <w:szCs w:val="24"/>
          <w:lang w:eastAsia="zh-CN"/>
        </w:rPr>
        <w:t xml:space="preserve"> of pathway mutations.</w:t>
      </w:r>
    </w:p>
    <w:p w14:paraId="3A7898DF" w14:textId="77777777" w:rsidR="008012AD" w:rsidRPr="008012AD" w:rsidRDefault="008012AD" w:rsidP="008012AD">
      <w:pPr>
        <w:pStyle w:val="a3"/>
        <w:numPr>
          <w:ilvl w:val="0"/>
          <w:numId w:val="1"/>
        </w:numPr>
        <w:rPr>
          <w:rFonts w:ascii="Arial" w:hAnsi="Arial" w:cs="Arial"/>
          <w:sz w:val="24"/>
          <w:szCs w:val="24"/>
        </w:rPr>
      </w:pPr>
      <w:r>
        <w:rPr>
          <w:rFonts w:ascii="Arial" w:eastAsiaTheme="minorEastAsia" w:hAnsi="Arial" w:cs="Arial" w:hint="eastAsia"/>
          <w:sz w:val="24"/>
          <w:szCs w:val="24"/>
          <w:lang w:eastAsia="zh-CN"/>
        </w:rPr>
        <w:t xml:space="preserve">Distribution of dynamic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features in </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/non-</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groups and various </w:t>
      </w:r>
      <w:proofErr w:type="spellStart"/>
      <w:r>
        <w:rPr>
          <w:rFonts w:ascii="Arial" w:eastAsiaTheme="minorEastAsia" w:hAnsi="Arial" w:cs="Arial" w:hint="eastAsia"/>
          <w:sz w:val="24"/>
          <w:szCs w:val="24"/>
          <w:lang w:eastAsia="zh-CN"/>
        </w:rPr>
        <w:t>pTRG</w:t>
      </w:r>
      <w:proofErr w:type="spellEnd"/>
      <w:r>
        <w:rPr>
          <w:rFonts w:ascii="Arial" w:eastAsiaTheme="minorEastAsia" w:hAnsi="Arial" w:cs="Arial" w:hint="eastAsia"/>
          <w:sz w:val="24"/>
          <w:szCs w:val="24"/>
          <w:lang w:eastAsia="zh-CN"/>
        </w:rPr>
        <w:t xml:space="preserve"> groups (</w:t>
      </w:r>
      <w:r w:rsidRPr="009428A4">
        <w:rPr>
          <w:rFonts w:ascii="Arial" w:eastAsiaTheme="minorEastAsia" w:hAnsi="Arial" w:cs="Arial"/>
          <w:sz w:val="24"/>
          <w:szCs w:val="24"/>
          <w:lang w:eastAsia="zh-CN"/>
        </w:rPr>
        <w:t xml:space="preserve">Fisher exact test and </w:t>
      </w:r>
      <w:r w:rsidRPr="009428A4">
        <w:rPr>
          <w:rStyle w:val="a6"/>
          <w:rFonts w:ascii="Arial" w:eastAsia="宋体" w:hAnsi="Arial" w:cs="Arial"/>
          <w:i w:val="0"/>
          <w:sz w:val="24"/>
          <w:szCs w:val="24"/>
          <w:shd w:val="clear" w:color="auto" w:fill="FFFFFF"/>
        </w:rPr>
        <w:t>Cochran-Armitage trend test</w:t>
      </w:r>
      <w:r>
        <w:rPr>
          <w:rFonts w:ascii="Arial" w:eastAsiaTheme="minorEastAsia" w:hAnsi="Arial" w:cs="Arial" w:hint="eastAsia"/>
          <w:sz w:val="24"/>
          <w:szCs w:val="24"/>
          <w:lang w:eastAsia="zh-CN"/>
        </w:rPr>
        <w:t xml:space="preserve">). Association of dynamic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features with </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/non-</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status (logistic regression). Dynamic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features included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clearance and status of acquire</w:t>
      </w:r>
      <w:r w:rsidR="00FB4936">
        <w:rPr>
          <w:rFonts w:ascii="Arial" w:eastAsiaTheme="minorEastAsia" w:hAnsi="Arial" w:cs="Arial"/>
          <w:sz w:val="24"/>
          <w:szCs w:val="24"/>
          <w:lang w:eastAsia="zh-CN"/>
        </w:rPr>
        <w:t>d</w:t>
      </w:r>
      <w:r>
        <w:rPr>
          <w:rFonts w:ascii="Arial" w:eastAsiaTheme="minorEastAsia" w:hAnsi="Arial" w:cs="Arial" w:hint="eastAsia"/>
          <w:sz w:val="24"/>
          <w:szCs w:val="24"/>
          <w:lang w:eastAsia="zh-CN"/>
        </w:rPr>
        <w:t xml:space="preserve"> mutation during </w:t>
      </w:r>
      <w:proofErr w:type="spellStart"/>
      <w:r>
        <w:rPr>
          <w:rFonts w:ascii="Arial" w:eastAsiaTheme="minorEastAsia" w:hAnsi="Arial" w:cs="Arial" w:hint="eastAsia"/>
          <w:sz w:val="24"/>
          <w:szCs w:val="24"/>
          <w:lang w:eastAsia="zh-CN"/>
        </w:rPr>
        <w:t>nCRT</w:t>
      </w:r>
      <w:proofErr w:type="spellEnd"/>
      <w:r>
        <w:rPr>
          <w:rFonts w:ascii="Arial" w:eastAsiaTheme="minorEastAsia" w:hAnsi="Arial" w:cs="Arial" w:hint="eastAsia"/>
          <w:sz w:val="24"/>
          <w:szCs w:val="24"/>
          <w:lang w:eastAsia="zh-CN"/>
        </w:rPr>
        <w:t xml:space="preserve">. </w:t>
      </w:r>
      <w:proofErr w:type="spellStart"/>
      <w:r w:rsidR="00444CA7">
        <w:rPr>
          <w:rFonts w:ascii="Arial" w:eastAsiaTheme="minorEastAsia" w:hAnsi="Arial" w:cs="Arial" w:hint="eastAsia"/>
          <w:sz w:val="24"/>
          <w:szCs w:val="24"/>
          <w:lang w:eastAsia="zh-CN"/>
        </w:rPr>
        <w:t>ctDNA</w:t>
      </w:r>
      <w:proofErr w:type="spellEnd"/>
      <w:r w:rsidR="00444CA7">
        <w:rPr>
          <w:rFonts w:ascii="Arial" w:eastAsiaTheme="minorEastAsia" w:hAnsi="Arial" w:cs="Arial" w:hint="eastAsia"/>
          <w:sz w:val="24"/>
          <w:szCs w:val="24"/>
          <w:lang w:eastAsia="zh-CN"/>
        </w:rPr>
        <w:t xml:space="preserve"> clearance was defined as </w:t>
      </w:r>
      <w:proofErr w:type="spellStart"/>
      <w:r w:rsidR="00444CA7">
        <w:rPr>
          <w:rFonts w:ascii="Arial" w:eastAsiaTheme="minorEastAsia" w:hAnsi="Arial" w:cs="Arial" w:hint="eastAsia"/>
          <w:sz w:val="24"/>
          <w:szCs w:val="24"/>
          <w:lang w:eastAsia="zh-CN"/>
        </w:rPr>
        <w:t>undetection</w:t>
      </w:r>
      <w:proofErr w:type="spellEnd"/>
      <w:r w:rsidR="00444CA7">
        <w:rPr>
          <w:rFonts w:ascii="Arial" w:eastAsiaTheme="minorEastAsia" w:hAnsi="Arial" w:cs="Arial" w:hint="eastAsia"/>
          <w:sz w:val="24"/>
          <w:szCs w:val="24"/>
          <w:lang w:eastAsia="zh-CN"/>
        </w:rPr>
        <w:t xml:space="preserve"> of the mutation with the highest VAF at baseline at all of the three time points before surgery (T234_clearance). </w:t>
      </w:r>
    </w:p>
    <w:p w14:paraId="3F8D70DD" w14:textId="77777777" w:rsidR="00D76038" w:rsidRPr="008012AD" w:rsidRDefault="008012AD" w:rsidP="008012AD">
      <w:pPr>
        <w:rPr>
          <w:rFonts w:ascii="Arial" w:eastAsiaTheme="minorEastAsia" w:hAnsi="Arial" w:cs="Arial"/>
          <w:sz w:val="24"/>
          <w:szCs w:val="24"/>
          <w:lang w:eastAsia="zh-CN"/>
        </w:rPr>
      </w:pPr>
      <w:r>
        <w:rPr>
          <w:rFonts w:ascii="Arial" w:eastAsiaTheme="minorEastAsia" w:hAnsi="Arial" w:cs="Arial" w:hint="eastAsia"/>
          <w:b/>
          <w:sz w:val="24"/>
          <w:szCs w:val="24"/>
          <w:lang w:eastAsia="zh-CN"/>
        </w:rPr>
        <w:t>Aim 2</w:t>
      </w:r>
      <w:r w:rsidR="00AD6026" w:rsidRPr="008012AD">
        <w:rPr>
          <w:rFonts w:ascii="Arial" w:hAnsi="Arial" w:cs="Arial"/>
          <w:b/>
          <w:sz w:val="24"/>
          <w:szCs w:val="24"/>
        </w:rPr>
        <w:t xml:space="preserve"> - </w:t>
      </w:r>
      <w:r w:rsidR="00AD6026" w:rsidRPr="008012AD">
        <w:rPr>
          <w:rFonts w:ascii="Arial" w:hAnsi="Arial" w:cs="Arial"/>
          <w:sz w:val="24"/>
          <w:szCs w:val="24"/>
        </w:rPr>
        <w:t xml:space="preserve">to </w:t>
      </w:r>
      <w:r>
        <w:rPr>
          <w:rFonts w:ascii="Arial" w:eastAsiaTheme="minorEastAsia" w:hAnsi="Arial" w:cs="Arial" w:hint="eastAsia"/>
          <w:sz w:val="24"/>
          <w:szCs w:val="24"/>
          <w:lang w:eastAsia="zh-CN"/>
        </w:rPr>
        <w:t>investigate</w:t>
      </w:r>
      <w:r w:rsidR="00AD6026" w:rsidRPr="008012AD">
        <w:rPr>
          <w:rFonts w:ascii="Arial" w:hAnsi="Arial" w:cs="Arial"/>
          <w:sz w:val="24"/>
          <w:szCs w:val="24"/>
        </w:rPr>
        <w:t xml:space="preserve"> whether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features alone or combined with MRI information can predict </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/non-</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status, or improve the predictive performance of MRI alone.</w:t>
      </w:r>
    </w:p>
    <w:p w14:paraId="302F9D90" w14:textId="6D7ECB30" w:rsidR="00626BB5" w:rsidRPr="009428A4" w:rsidRDefault="00894FFA" w:rsidP="00D76038">
      <w:pPr>
        <w:pStyle w:val="a3"/>
        <w:numPr>
          <w:ilvl w:val="0"/>
          <w:numId w:val="1"/>
        </w:numPr>
        <w:rPr>
          <w:rFonts w:ascii="Arial" w:hAnsi="Arial" w:cs="Arial"/>
          <w:sz w:val="24"/>
          <w:szCs w:val="24"/>
        </w:rPr>
      </w:pPr>
      <w:r>
        <w:rPr>
          <w:rFonts w:ascii="Arial" w:eastAsiaTheme="minorEastAsia" w:hAnsi="Arial" w:cs="Arial" w:hint="eastAsia"/>
          <w:sz w:val="24"/>
          <w:szCs w:val="24"/>
          <w:lang w:eastAsia="zh-CN"/>
        </w:rPr>
        <w:t xml:space="preserve">According to the results of the analyses in aim 1, select baseline and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dynamic features which are significantly associated with </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status to perform </w:t>
      </w:r>
      <w:r w:rsidR="001C3B52">
        <w:rPr>
          <w:rFonts w:ascii="Arial" w:eastAsiaTheme="minorEastAsia" w:hAnsi="Arial" w:cs="Arial" w:hint="eastAsia"/>
          <w:sz w:val="24"/>
          <w:szCs w:val="24"/>
          <w:lang w:eastAsia="zh-CN"/>
        </w:rPr>
        <w:t>multivariable</w:t>
      </w:r>
      <w:r>
        <w:rPr>
          <w:rFonts w:ascii="Arial" w:eastAsiaTheme="minorEastAsia" w:hAnsi="Arial" w:cs="Arial" w:hint="eastAsia"/>
          <w:sz w:val="24"/>
          <w:szCs w:val="24"/>
          <w:lang w:eastAsia="zh-CN"/>
        </w:rPr>
        <w:t xml:space="preserve"> logistic regression</w:t>
      </w:r>
      <w:r w:rsidR="004E5B5E" w:rsidRPr="009428A4">
        <w:rPr>
          <w:rFonts w:ascii="Arial" w:hAnsi="Arial" w:cs="Arial"/>
          <w:sz w:val="24"/>
          <w:szCs w:val="24"/>
        </w:rPr>
        <w:t>.</w:t>
      </w:r>
    </w:p>
    <w:p w14:paraId="2DBC5789" w14:textId="3445DFDB" w:rsidR="00982893" w:rsidRPr="009428A4" w:rsidRDefault="00B70AFB" w:rsidP="004E5B5E">
      <w:pPr>
        <w:pStyle w:val="a3"/>
        <w:numPr>
          <w:ilvl w:val="0"/>
          <w:numId w:val="2"/>
        </w:numPr>
        <w:rPr>
          <w:rFonts w:ascii="Arial" w:hAnsi="Arial" w:cs="Arial"/>
          <w:sz w:val="24"/>
          <w:szCs w:val="24"/>
        </w:rPr>
      </w:pPr>
      <w:r>
        <w:rPr>
          <w:rFonts w:ascii="Arial" w:eastAsiaTheme="minorEastAsia" w:hAnsi="Arial" w:cs="Arial" w:hint="eastAsia"/>
          <w:sz w:val="24"/>
          <w:szCs w:val="24"/>
          <w:lang w:eastAsia="zh-CN"/>
        </w:rPr>
        <w:lastRenderedPageBreak/>
        <w:t xml:space="preserve">Based on the results of </w:t>
      </w:r>
      <w:r w:rsidR="001C3B52">
        <w:rPr>
          <w:rFonts w:ascii="Arial" w:eastAsiaTheme="minorEastAsia" w:hAnsi="Arial" w:cs="Arial" w:hint="eastAsia"/>
          <w:sz w:val="24"/>
          <w:szCs w:val="24"/>
          <w:lang w:eastAsia="zh-CN"/>
        </w:rPr>
        <w:t>multivariable</w:t>
      </w:r>
      <w:r>
        <w:rPr>
          <w:rFonts w:ascii="Arial" w:eastAsiaTheme="minorEastAsia" w:hAnsi="Arial" w:cs="Arial" w:hint="eastAsia"/>
          <w:sz w:val="24"/>
          <w:szCs w:val="24"/>
          <w:lang w:eastAsia="zh-CN"/>
        </w:rPr>
        <w:t xml:space="preserve"> logistic regression, </w:t>
      </w:r>
      <w:r w:rsidR="00EB3046">
        <w:rPr>
          <w:rFonts w:ascii="Arial" w:eastAsiaTheme="minorEastAsia" w:hAnsi="Arial" w:cs="Arial" w:hint="eastAsia"/>
          <w:sz w:val="24"/>
          <w:szCs w:val="24"/>
          <w:lang w:eastAsia="zh-CN"/>
        </w:rPr>
        <w:t>c</w:t>
      </w:r>
      <w:r>
        <w:rPr>
          <w:rFonts w:ascii="Arial" w:eastAsiaTheme="minorEastAsia" w:hAnsi="Arial" w:cs="Arial" w:hint="eastAsia"/>
          <w:sz w:val="24"/>
          <w:szCs w:val="24"/>
          <w:lang w:eastAsia="zh-CN"/>
        </w:rPr>
        <w:t xml:space="preserve">onstruct predictive models for </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/non-</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status. That is, to calculate linear predictor (risk score) for non-</w:t>
      </w:r>
      <w:proofErr w:type="spellStart"/>
      <w:r>
        <w:rPr>
          <w:rFonts w:ascii="Arial" w:eastAsiaTheme="minorEastAsia" w:hAnsi="Arial" w:cs="Arial" w:hint="eastAsia"/>
          <w:sz w:val="24"/>
          <w:szCs w:val="24"/>
          <w:lang w:eastAsia="zh-CN"/>
        </w:rPr>
        <w:t>pCR</w:t>
      </w:r>
      <w:proofErr w:type="spellEnd"/>
      <w:r>
        <w:rPr>
          <w:rFonts w:ascii="Arial" w:eastAsiaTheme="minorEastAsia" w:hAnsi="Arial" w:cs="Arial" w:hint="eastAsia"/>
          <w:sz w:val="24"/>
          <w:szCs w:val="24"/>
          <w:lang w:eastAsia="zh-CN"/>
        </w:rPr>
        <w:t xml:space="preserve"> to predict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risk for non-</w:t>
      </w:r>
      <w:proofErr w:type="spellStart"/>
      <w:r>
        <w:rPr>
          <w:rFonts w:ascii="Arial" w:eastAsiaTheme="minorEastAsia" w:hAnsi="Arial" w:cs="Arial" w:hint="eastAsia"/>
          <w:sz w:val="24"/>
          <w:szCs w:val="24"/>
          <w:lang w:eastAsia="zh-CN"/>
        </w:rPr>
        <w:t>pCR</w:t>
      </w:r>
      <w:proofErr w:type="spellEnd"/>
    </w:p>
    <w:p w14:paraId="2D76DB6B" w14:textId="77777777" w:rsidR="00982893" w:rsidRPr="00B70AFB" w:rsidRDefault="00EB3046" w:rsidP="00596032">
      <w:pPr>
        <w:pStyle w:val="a3"/>
        <w:numPr>
          <w:ilvl w:val="0"/>
          <w:numId w:val="2"/>
        </w:numPr>
        <w:rPr>
          <w:rFonts w:ascii="Arial" w:hAnsi="Arial" w:cs="Arial"/>
          <w:sz w:val="24"/>
          <w:szCs w:val="24"/>
        </w:rPr>
      </w:pPr>
      <w:r>
        <w:rPr>
          <w:rFonts w:ascii="Arial" w:eastAsiaTheme="minorEastAsia" w:hAnsi="Arial" w:cs="Arial" w:hint="eastAsia"/>
          <w:sz w:val="24"/>
          <w:szCs w:val="24"/>
          <w:lang w:eastAsia="zh-CN"/>
        </w:rPr>
        <w:t>C</w:t>
      </w:r>
      <w:r w:rsidR="00B70AFB">
        <w:rPr>
          <w:rFonts w:ascii="Arial" w:eastAsiaTheme="minorEastAsia" w:hAnsi="Arial" w:cs="Arial" w:hint="eastAsia"/>
          <w:sz w:val="24"/>
          <w:szCs w:val="24"/>
          <w:lang w:eastAsia="zh-CN"/>
        </w:rPr>
        <w:t xml:space="preserve">onstruct three models which include </w:t>
      </w:r>
      <w:proofErr w:type="spellStart"/>
      <w:r w:rsidR="00B70AFB">
        <w:rPr>
          <w:rFonts w:ascii="Arial" w:eastAsiaTheme="minorEastAsia" w:hAnsi="Arial" w:cs="Arial" w:hint="eastAsia"/>
          <w:sz w:val="24"/>
          <w:szCs w:val="24"/>
          <w:lang w:eastAsia="zh-CN"/>
        </w:rPr>
        <w:t>ctDNA</w:t>
      </w:r>
      <w:proofErr w:type="spellEnd"/>
      <w:r w:rsidR="00B70AFB">
        <w:rPr>
          <w:rFonts w:ascii="Arial" w:eastAsiaTheme="minorEastAsia" w:hAnsi="Arial" w:cs="Arial" w:hint="eastAsia"/>
          <w:sz w:val="24"/>
          <w:szCs w:val="24"/>
          <w:lang w:eastAsia="zh-CN"/>
        </w:rPr>
        <w:t xml:space="preserve"> information only, </w:t>
      </w:r>
      <w:proofErr w:type="spellStart"/>
      <w:r w:rsidR="00B70AFB">
        <w:rPr>
          <w:rFonts w:ascii="Arial" w:eastAsiaTheme="minorEastAsia" w:hAnsi="Arial" w:cs="Arial" w:hint="eastAsia"/>
          <w:sz w:val="24"/>
          <w:szCs w:val="24"/>
          <w:lang w:eastAsia="zh-CN"/>
        </w:rPr>
        <w:t>mrTRG</w:t>
      </w:r>
      <w:proofErr w:type="spellEnd"/>
      <w:r w:rsidR="00B70AFB">
        <w:rPr>
          <w:rFonts w:ascii="Arial" w:eastAsiaTheme="minorEastAsia" w:hAnsi="Arial" w:cs="Arial" w:hint="eastAsia"/>
          <w:sz w:val="24"/>
          <w:szCs w:val="24"/>
          <w:lang w:eastAsia="zh-CN"/>
        </w:rPr>
        <w:t xml:space="preserve"> information only, and both of </w:t>
      </w:r>
      <w:proofErr w:type="spellStart"/>
      <w:r w:rsidR="00B70AFB">
        <w:rPr>
          <w:rFonts w:ascii="Arial" w:eastAsiaTheme="minorEastAsia" w:hAnsi="Arial" w:cs="Arial" w:hint="eastAsia"/>
          <w:sz w:val="24"/>
          <w:szCs w:val="24"/>
          <w:lang w:eastAsia="zh-CN"/>
        </w:rPr>
        <w:t>ctDNA</w:t>
      </w:r>
      <w:proofErr w:type="spellEnd"/>
      <w:r w:rsidR="00B70AFB">
        <w:rPr>
          <w:rFonts w:ascii="Arial" w:eastAsiaTheme="minorEastAsia" w:hAnsi="Arial" w:cs="Arial" w:hint="eastAsia"/>
          <w:sz w:val="24"/>
          <w:szCs w:val="24"/>
          <w:lang w:eastAsia="zh-CN"/>
        </w:rPr>
        <w:t xml:space="preserve"> information and </w:t>
      </w:r>
      <w:proofErr w:type="spellStart"/>
      <w:r w:rsidR="00B70AFB">
        <w:rPr>
          <w:rFonts w:ascii="Arial" w:eastAsiaTheme="minorEastAsia" w:hAnsi="Arial" w:cs="Arial" w:hint="eastAsia"/>
          <w:sz w:val="24"/>
          <w:szCs w:val="24"/>
          <w:lang w:eastAsia="zh-CN"/>
        </w:rPr>
        <w:t>mrTRG</w:t>
      </w:r>
      <w:proofErr w:type="spellEnd"/>
      <w:r w:rsidR="00B70AFB">
        <w:rPr>
          <w:rFonts w:ascii="Arial" w:eastAsiaTheme="minorEastAsia" w:hAnsi="Arial" w:cs="Arial" w:hint="eastAsia"/>
          <w:sz w:val="24"/>
          <w:szCs w:val="24"/>
          <w:lang w:eastAsia="zh-CN"/>
        </w:rPr>
        <w:t>, and evaluate the performance of the three models by ROC method.</w:t>
      </w:r>
      <w:r w:rsidR="006F13E1" w:rsidRPr="009428A4">
        <w:rPr>
          <w:rFonts w:ascii="Arial" w:hAnsi="Arial" w:cs="Arial"/>
          <w:sz w:val="24"/>
          <w:szCs w:val="24"/>
        </w:rPr>
        <w:t xml:space="preserve"> </w:t>
      </w:r>
    </w:p>
    <w:p w14:paraId="43CC57A3" w14:textId="77777777" w:rsidR="00B70AFB" w:rsidRPr="009428A4" w:rsidRDefault="00EB3046" w:rsidP="00596032">
      <w:pPr>
        <w:pStyle w:val="a3"/>
        <w:numPr>
          <w:ilvl w:val="0"/>
          <w:numId w:val="2"/>
        </w:numPr>
        <w:rPr>
          <w:rFonts w:ascii="Arial" w:hAnsi="Arial" w:cs="Arial"/>
          <w:sz w:val="24"/>
          <w:szCs w:val="24"/>
        </w:rPr>
      </w:pPr>
      <w:r>
        <w:rPr>
          <w:rFonts w:ascii="Arial" w:eastAsiaTheme="minorEastAsia" w:hAnsi="Arial" w:cs="Arial" w:hint="eastAsia"/>
          <w:sz w:val="24"/>
          <w:szCs w:val="24"/>
          <w:lang w:eastAsia="zh-CN"/>
        </w:rPr>
        <w:t>U</w:t>
      </w:r>
      <w:r w:rsidR="00B70AFB">
        <w:rPr>
          <w:rFonts w:ascii="Arial" w:eastAsiaTheme="minorEastAsia" w:hAnsi="Arial" w:cs="Arial" w:hint="eastAsia"/>
          <w:sz w:val="24"/>
          <w:szCs w:val="24"/>
          <w:lang w:eastAsia="zh-CN"/>
        </w:rPr>
        <w:t>se internal cross validation to validate the three models</w:t>
      </w:r>
    </w:p>
    <w:p w14:paraId="114AD1CC" w14:textId="77777777" w:rsidR="00B6716D" w:rsidRPr="00B6716D" w:rsidRDefault="00EB3046" w:rsidP="00B6716D">
      <w:pPr>
        <w:ind w:left="360"/>
        <w:rPr>
          <w:rFonts w:ascii="Arial" w:hAnsi="Arial" w:cs="Arial"/>
          <w:sz w:val="24"/>
          <w:szCs w:val="24"/>
        </w:rPr>
      </w:pPr>
      <w:r w:rsidRPr="00CD6AFD">
        <w:rPr>
          <w:rFonts w:ascii="Arial" w:eastAsiaTheme="minorEastAsia" w:hAnsi="Arial" w:cs="Arial" w:hint="eastAsia"/>
          <w:b/>
          <w:sz w:val="24"/>
          <w:szCs w:val="24"/>
          <w:lang w:eastAsia="zh-CN"/>
        </w:rPr>
        <w:t>Aim 3</w:t>
      </w:r>
      <w:r w:rsidRPr="00B6716D">
        <w:rPr>
          <w:rFonts w:ascii="Arial" w:eastAsiaTheme="minorEastAsia" w:hAnsi="Arial" w:cs="Arial" w:hint="eastAsia"/>
          <w:sz w:val="24"/>
          <w:szCs w:val="24"/>
          <w:lang w:eastAsia="zh-CN"/>
        </w:rPr>
        <w:t xml:space="preserve"> </w:t>
      </w:r>
      <w:r w:rsidRPr="00B6716D">
        <w:rPr>
          <w:rFonts w:ascii="Arial" w:eastAsiaTheme="minorEastAsia" w:hAnsi="Arial" w:cs="Arial"/>
          <w:sz w:val="24"/>
          <w:szCs w:val="24"/>
          <w:lang w:eastAsia="zh-CN"/>
        </w:rPr>
        <w:t>–</w:t>
      </w:r>
      <w:r w:rsidRPr="00B6716D">
        <w:rPr>
          <w:rFonts w:ascii="Arial" w:eastAsiaTheme="minorEastAsia" w:hAnsi="Arial" w:cs="Arial" w:hint="eastAsia"/>
          <w:sz w:val="24"/>
          <w:szCs w:val="24"/>
          <w:lang w:eastAsia="zh-CN"/>
        </w:rPr>
        <w:t xml:space="preserve"> to investigate whether </w:t>
      </w:r>
      <w:r w:rsidR="00B6716D">
        <w:rPr>
          <w:rFonts w:ascii="Arial" w:eastAsiaTheme="minorEastAsia" w:hAnsi="Arial" w:cs="Arial" w:hint="eastAsia"/>
          <w:sz w:val="24"/>
          <w:szCs w:val="24"/>
          <w:lang w:eastAsia="zh-CN"/>
        </w:rPr>
        <w:t xml:space="preserve">baseline and dynamic </w:t>
      </w:r>
      <w:proofErr w:type="spellStart"/>
      <w:r w:rsidRPr="00B6716D">
        <w:rPr>
          <w:rFonts w:ascii="Arial" w:eastAsiaTheme="minorEastAsia" w:hAnsi="Arial" w:cs="Arial" w:hint="eastAsia"/>
          <w:sz w:val="24"/>
          <w:szCs w:val="24"/>
          <w:lang w:eastAsia="zh-CN"/>
        </w:rPr>
        <w:t>ctDNA</w:t>
      </w:r>
      <w:proofErr w:type="spellEnd"/>
      <w:r w:rsidRPr="00B6716D">
        <w:rPr>
          <w:rFonts w:ascii="Arial" w:eastAsiaTheme="minorEastAsia" w:hAnsi="Arial" w:cs="Arial" w:hint="eastAsia"/>
          <w:sz w:val="24"/>
          <w:szCs w:val="24"/>
          <w:lang w:eastAsia="zh-CN"/>
        </w:rPr>
        <w:t xml:space="preserve"> </w:t>
      </w:r>
      <w:r w:rsidR="00B6716D">
        <w:rPr>
          <w:rFonts w:ascii="Arial" w:eastAsiaTheme="minorEastAsia" w:hAnsi="Arial" w:cs="Arial" w:hint="eastAsia"/>
          <w:sz w:val="24"/>
          <w:szCs w:val="24"/>
          <w:lang w:eastAsia="zh-CN"/>
        </w:rPr>
        <w:t>features</w:t>
      </w:r>
      <w:r w:rsidRPr="00B6716D">
        <w:rPr>
          <w:rFonts w:ascii="Arial" w:eastAsiaTheme="minorEastAsia" w:hAnsi="Arial" w:cs="Arial" w:hint="eastAsia"/>
          <w:sz w:val="24"/>
          <w:szCs w:val="24"/>
          <w:lang w:eastAsia="zh-CN"/>
        </w:rPr>
        <w:t xml:space="preserve"> can predict patients</w:t>
      </w:r>
      <w:r w:rsidRPr="00B6716D">
        <w:rPr>
          <w:rFonts w:ascii="Arial" w:eastAsiaTheme="minorEastAsia" w:hAnsi="Arial" w:cs="Arial"/>
          <w:sz w:val="24"/>
          <w:szCs w:val="24"/>
          <w:lang w:eastAsia="zh-CN"/>
        </w:rPr>
        <w:t>’</w:t>
      </w:r>
      <w:r w:rsidRPr="00B6716D">
        <w:rPr>
          <w:rFonts w:ascii="Arial" w:eastAsiaTheme="minorEastAsia" w:hAnsi="Arial" w:cs="Arial" w:hint="eastAsia"/>
          <w:sz w:val="24"/>
          <w:szCs w:val="24"/>
          <w:lang w:eastAsia="zh-CN"/>
        </w:rPr>
        <w:t xml:space="preserve"> recurrence after surgery</w:t>
      </w:r>
      <w:r w:rsidR="006F13E1" w:rsidRPr="00B6716D">
        <w:rPr>
          <w:rFonts w:ascii="Arial" w:hAnsi="Arial" w:cs="Arial"/>
          <w:sz w:val="24"/>
          <w:szCs w:val="24"/>
        </w:rPr>
        <w:t xml:space="preserve">  </w:t>
      </w:r>
    </w:p>
    <w:p w14:paraId="7E5F40D1" w14:textId="77777777" w:rsidR="00B6716D" w:rsidRPr="009428A4" w:rsidRDefault="00B6716D" w:rsidP="00B6716D">
      <w:pPr>
        <w:pStyle w:val="a3"/>
        <w:numPr>
          <w:ilvl w:val="0"/>
          <w:numId w:val="1"/>
        </w:numPr>
        <w:rPr>
          <w:rFonts w:ascii="Arial" w:hAnsi="Arial" w:cs="Arial"/>
          <w:sz w:val="24"/>
          <w:szCs w:val="24"/>
        </w:rPr>
      </w:pPr>
      <w:r>
        <w:rPr>
          <w:rFonts w:ascii="Arial" w:eastAsiaTheme="minorEastAsia" w:hAnsi="Arial" w:cs="Arial" w:hint="eastAsia"/>
          <w:sz w:val="24"/>
          <w:szCs w:val="24"/>
          <w:lang w:eastAsia="zh-CN"/>
        </w:rPr>
        <w:t xml:space="preserve">Whether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clearance after </w:t>
      </w:r>
      <w:proofErr w:type="spellStart"/>
      <w:r>
        <w:rPr>
          <w:rFonts w:ascii="Arial" w:eastAsiaTheme="minorEastAsia" w:hAnsi="Arial" w:cs="Arial" w:hint="eastAsia"/>
          <w:sz w:val="24"/>
          <w:szCs w:val="24"/>
          <w:lang w:eastAsia="zh-CN"/>
        </w:rPr>
        <w:t>nCRT</w:t>
      </w:r>
      <w:proofErr w:type="spellEnd"/>
      <w:r>
        <w:rPr>
          <w:rFonts w:ascii="Arial" w:eastAsiaTheme="minorEastAsia" w:hAnsi="Arial" w:cs="Arial" w:hint="eastAsia"/>
          <w:sz w:val="24"/>
          <w:szCs w:val="24"/>
          <w:lang w:eastAsia="zh-CN"/>
        </w:rPr>
        <w:t xml:space="preserve"> and </w:t>
      </w:r>
      <w:r w:rsidR="004541E9">
        <w:rPr>
          <w:rFonts w:ascii="Arial" w:eastAsia="宋体" w:hAnsi="Arial" w:cs="Arial" w:hint="eastAsia"/>
          <w:sz w:val="24"/>
          <w:szCs w:val="24"/>
          <w:lang w:eastAsia="zh-CN"/>
        </w:rPr>
        <w:t>after</w:t>
      </w:r>
      <w:r w:rsidR="004541E9">
        <w:rPr>
          <w:rFonts w:ascii="Arial" w:eastAsiaTheme="minorEastAsia" w:hAnsi="Arial" w:cs="Arial" w:hint="eastAsia"/>
          <w:sz w:val="24"/>
          <w:szCs w:val="24"/>
          <w:lang w:eastAsia="zh-CN"/>
        </w:rPr>
        <w:t xml:space="preserve"> </w:t>
      </w:r>
      <w:r>
        <w:rPr>
          <w:rFonts w:ascii="Arial" w:eastAsiaTheme="minorEastAsia" w:hAnsi="Arial" w:cs="Arial" w:hint="eastAsia"/>
          <w:sz w:val="24"/>
          <w:szCs w:val="24"/>
          <w:lang w:eastAsia="zh-CN"/>
        </w:rPr>
        <w:t>surgery can predict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recurrence-free survival (RFS) (</w:t>
      </w:r>
      <w:r w:rsidRPr="00B6716D">
        <w:rPr>
          <w:rFonts w:ascii="Arial" w:eastAsiaTheme="minorEastAsia" w:hAnsi="Arial" w:cs="Arial"/>
          <w:sz w:val="24"/>
          <w:szCs w:val="24"/>
          <w:lang w:eastAsia="zh-CN"/>
        </w:rPr>
        <w:t>Kaplan–Meier</w:t>
      </w:r>
      <w:r>
        <w:rPr>
          <w:rFonts w:ascii="Arial" w:eastAsiaTheme="minorEastAsia" w:hAnsi="Arial" w:cs="Arial" w:hint="eastAsia"/>
          <w:sz w:val="24"/>
          <w:szCs w:val="24"/>
          <w:lang w:eastAsia="zh-CN"/>
        </w:rPr>
        <w:t xml:space="preserve"> estimation and Cox regression model)</w:t>
      </w:r>
      <w:r w:rsidRPr="009428A4">
        <w:rPr>
          <w:rFonts w:ascii="Arial" w:hAnsi="Arial" w:cs="Arial"/>
          <w:sz w:val="24"/>
          <w:szCs w:val="24"/>
        </w:rPr>
        <w:t>.</w:t>
      </w:r>
    </w:p>
    <w:p w14:paraId="27469D98" w14:textId="77777777" w:rsidR="00B6716D" w:rsidRPr="00B70AFB" w:rsidRDefault="00B6716D" w:rsidP="00B6716D">
      <w:pPr>
        <w:pStyle w:val="a3"/>
        <w:numPr>
          <w:ilvl w:val="0"/>
          <w:numId w:val="2"/>
        </w:numPr>
        <w:rPr>
          <w:rFonts w:ascii="Arial" w:hAnsi="Arial" w:cs="Arial"/>
          <w:sz w:val="24"/>
          <w:szCs w:val="24"/>
        </w:rPr>
      </w:pPr>
      <w:r>
        <w:rPr>
          <w:rFonts w:ascii="Arial" w:eastAsiaTheme="minorEastAsia" w:hAnsi="Arial" w:cs="Arial" w:hint="eastAsia"/>
          <w:sz w:val="24"/>
          <w:szCs w:val="24"/>
          <w:lang w:eastAsia="zh-CN"/>
        </w:rPr>
        <w:t xml:space="preserve">Whether detection of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at baseline is associated with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RFS (</w:t>
      </w:r>
      <w:r w:rsidRPr="00B6716D">
        <w:rPr>
          <w:rFonts w:ascii="Arial" w:eastAsiaTheme="minorEastAsia" w:hAnsi="Arial" w:cs="Arial"/>
          <w:sz w:val="24"/>
          <w:szCs w:val="24"/>
          <w:lang w:eastAsia="zh-CN"/>
        </w:rPr>
        <w:t>Kaplan–Meier</w:t>
      </w:r>
      <w:r>
        <w:rPr>
          <w:rFonts w:ascii="Arial" w:eastAsiaTheme="minorEastAsia" w:hAnsi="Arial" w:cs="Arial" w:hint="eastAsia"/>
          <w:sz w:val="24"/>
          <w:szCs w:val="24"/>
          <w:lang w:eastAsia="zh-CN"/>
        </w:rPr>
        <w:t xml:space="preserve"> estimation and Cox regression model).</w:t>
      </w:r>
      <w:r w:rsidRPr="009428A4">
        <w:rPr>
          <w:rFonts w:ascii="Arial" w:hAnsi="Arial" w:cs="Arial"/>
          <w:sz w:val="24"/>
          <w:szCs w:val="24"/>
        </w:rPr>
        <w:t xml:space="preserve"> </w:t>
      </w:r>
    </w:p>
    <w:p w14:paraId="5B1899DF" w14:textId="77777777" w:rsidR="00B6716D" w:rsidRPr="009428A4" w:rsidRDefault="0011008B" w:rsidP="00B6716D">
      <w:pPr>
        <w:pStyle w:val="a3"/>
        <w:numPr>
          <w:ilvl w:val="0"/>
          <w:numId w:val="2"/>
        </w:numPr>
        <w:rPr>
          <w:rFonts w:ascii="Arial" w:hAnsi="Arial" w:cs="Arial"/>
          <w:sz w:val="24"/>
          <w:szCs w:val="24"/>
        </w:rPr>
      </w:pPr>
      <w:r>
        <w:rPr>
          <w:rFonts w:ascii="Arial" w:eastAsiaTheme="minorEastAsia" w:hAnsi="Arial" w:cs="Arial" w:hint="eastAsia"/>
          <w:sz w:val="24"/>
          <w:szCs w:val="24"/>
          <w:lang w:eastAsia="zh-CN"/>
        </w:rPr>
        <w:t>Whether detection of mutations of certain genes (TP53, APC, KRAS) is associated with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RFS (</w:t>
      </w:r>
      <w:r w:rsidRPr="00B6716D">
        <w:rPr>
          <w:rFonts w:ascii="Arial" w:eastAsiaTheme="minorEastAsia" w:hAnsi="Arial" w:cs="Arial"/>
          <w:sz w:val="24"/>
          <w:szCs w:val="24"/>
          <w:lang w:eastAsia="zh-CN"/>
        </w:rPr>
        <w:t>Kaplan–Meier</w:t>
      </w:r>
      <w:r>
        <w:rPr>
          <w:rFonts w:ascii="Arial" w:eastAsiaTheme="minorEastAsia" w:hAnsi="Arial" w:cs="Arial" w:hint="eastAsia"/>
          <w:sz w:val="24"/>
          <w:szCs w:val="24"/>
          <w:lang w:eastAsia="zh-CN"/>
        </w:rPr>
        <w:t xml:space="preserve"> estimation and Cox regression model)</w:t>
      </w:r>
    </w:p>
    <w:p w14:paraId="59D3EF0E" w14:textId="77777777" w:rsidR="007167CE" w:rsidRPr="00B375B7" w:rsidRDefault="00785E93" w:rsidP="007167CE">
      <w:pPr>
        <w:rPr>
          <w:rFonts w:ascii="Arial" w:eastAsiaTheme="minorEastAsia" w:hAnsi="Arial" w:cs="Arial"/>
          <w:b/>
          <w:sz w:val="24"/>
          <w:szCs w:val="24"/>
          <w:lang w:eastAsia="zh-CN"/>
        </w:rPr>
      </w:pPr>
      <w:r w:rsidRPr="009428A4">
        <w:rPr>
          <w:rFonts w:ascii="Arial" w:hAnsi="Arial" w:cs="Arial"/>
          <w:b/>
          <w:sz w:val="24"/>
          <w:szCs w:val="24"/>
        </w:rPr>
        <w:t>Changes</w:t>
      </w:r>
      <w:r w:rsidR="00B375B7">
        <w:rPr>
          <w:rFonts w:ascii="Arial" w:eastAsiaTheme="minorEastAsia" w:hAnsi="Arial" w:cs="Arial" w:hint="eastAsia"/>
          <w:b/>
          <w:sz w:val="24"/>
          <w:szCs w:val="24"/>
          <w:lang w:eastAsia="zh-CN"/>
        </w:rPr>
        <w:t xml:space="preserve"> or additional </w:t>
      </w:r>
      <w:r w:rsidR="00B375B7">
        <w:rPr>
          <w:rFonts w:ascii="Arial" w:eastAsiaTheme="minorEastAsia" w:hAnsi="Arial" w:cs="Arial"/>
          <w:b/>
          <w:sz w:val="24"/>
          <w:szCs w:val="24"/>
          <w:lang w:eastAsia="zh-CN"/>
        </w:rPr>
        <w:t>analyses</w:t>
      </w:r>
      <w:r w:rsidR="00B375B7">
        <w:rPr>
          <w:rFonts w:ascii="Arial" w:eastAsiaTheme="minorEastAsia" w:hAnsi="Arial" w:cs="Arial" w:hint="eastAsia"/>
          <w:b/>
          <w:sz w:val="24"/>
          <w:szCs w:val="24"/>
          <w:lang w:eastAsia="zh-CN"/>
        </w:rPr>
        <w:t xml:space="preserve"> </w:t>
      </w:r>
      <w:r w:rsidR="00FA01A0">
        <w:rPr>
          <w:rFonts w:ascii="Arial" w:eastAsiaTheme="minorEastAsia" w:hAnsi="Arial" w:cs="Arial" w:hint="eastAsia"/>
          <w:b/>
          <w:sz w:val="24"/>
          <w:szCs w:val="24"/>
          <w:lang w:eastAsia="zh-CN"/>
        </w:rPr>
        <w:t>following results</w:t>
      </w:r>
      <w:r w:rsidR="00B375B7">
        <w:rPr>
          <w:rFonts w:ascii="Arial" w:eastAsiaTheme="minorEastAsia" w:hAnsi="Arial" w:cs="Arial" w:hint="eastAsia"/>
          <w:b/>
          <w:sz w:val="24"/>
          <w:szCs w:val="24"/>
          <w:lang w:eastAsia="zh-CN"/>
        </w:rPr>
        <w:t xml:space="preserve"> from initial analysis</w:t>
      </w:r>
    </w:p>
    <w:p w14:paraId="3286CD45" w14:textId="77777777" w:rsidR="00CC3C02" w:rsidRPr="009428A4" w:rsidRDefault="00FA01A0" w:rsidP="00BE362E">
      <w:pPr>
        <w:pStyle w:val="a3"/>
        <w:numPr>
          <w:ilvl w:val="0"/>
          <w:numId w:val="3"/>
        </w:numPr>
        <w:spacing w:beforeLines="50" w:before="180" w:after="120"/>
        <w:rPr>
          <w:rFonts w:ascii="Arial" w:hAnsi="Arial" w:cs="Arial"/>
          <w:sz w:val="24"/>
          <w:szCs w:val="24"/>
        </w:rPr>
      </w:pPr>
      <w:r>
        <w:rPr>
          <w:rFonts w:ascii="Arial" w:eastAsiaTheme="minorEastAsia" w:hAnsi="Arial" w:cs="Arial" w:hint="eastAsia"/>
          <w:sz w:val="24"/>
          <w:szCs w:val="24"/>
          <w:lang w:eastAsia="zh-CN"/>
        </w:rPr>
        <w:t xml:space="preserve">According to the </w:t>
      </w:r>
      <w:r w:rsidR="00E16F3B">
        <w:rPr>
          <w:rFonts w:ascii="Arial" w:eastAsiaTheme="minorEastAsia" w:hAnsi="Arial" w:cs="Arial" w:hint="eastAsia"/>
          <w:sz w:val="24"/>
          <w:szCs w:val="24"/>
          <w:lang w:eastAsia="zh-CN"/>
        </w:rPr>
        <w:t xml:space="preserve">number of the </w:t>
      </w:r>
      <w:r>
        <w:rPr>
          <w:rFonts w:ascii="Arial" w:eastAsiaTheme="minorEastAsia" w:hAnsi="Arial" w:cs="Arial" w:hint="eastAsia"/>
          <w:sz w:val="24"/>
          <w:szCs w:val="24"/>
          <w:lang w:eastAsia="zh-CN"/>
        </w:rPr>
        <w:t>patients who complete</w:t>
      </w:r>
      <w:r w:rsidR="00E16F3B">
        <w:rPr>
          <w:rFonts w:ascii="Arial" w:eastAsiaTheme="minorEastAsia" w:hAnsi="Arial" w:cs="Arial" w:hint="eastAsia"/>
          <w:sz w:val="24"/>
          <w:szCs w:val="24"/>
          <w:lang w:eastAsia="zh-CN"/>
        </w:rPr>
        <w:t>d</w:t>
      </w:r>
      <w:r>
        <w:rPr>
          <w:rFonts w:ascii="Arial" w:eastAsiaTheme="minorEastAsia" w:hAnsi="Arial" w:cs="Arial" w:hint="eastAsia"/>
          <w:sz w:val="24"/>
          <w:szCs w:val="24"/>
          <w:lang w:eastAsia="zh-CN"/>
        </w:rPr>
        <w:t xml:space="preserve"> baseline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sequencing, following serial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sequencing, and had detectable baseline mutations, we adjusted included patients for each analysis. All analyses only involving baseline features included all of the 119 patients who completed baseline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sequencing, for example, association of baseline features with </w:t>
      </w:r>
      <w:proofErr w:type="spellStart"/>
      <w:r w:rsidR="00E16F3B">
        <w:rPr>
          <w:rFonts w:ascii="Arial" w:eastAsiaTheme="minorEastAsia" w:hAnsi="Arial" w:cs="Arial" w:hint="eastAsia"/>
          <w:sz w:val="24"/>
          <w:szCs w:val="24"/>
          <w:lang w:eastAsia="zh-CN"/>
        </w:rPr>
        <w:t>pCR</w:t>
      </w:r>
      <w:proofErr w:type="spellEnd"/>
      <w:r w:rsidR="00E16F3B">
        <w:rPr>
          <w:rFonts w:ascii="Arial" w:eastAsiaTheme="minorEastAsia" w:hAnsi="Arial" w:cs="Arial" w:hint="eastAsia"/>
          <w:sz w:val="24"/>
          <w:szCs w:val="24"/>
          <w:lang w:eastAsia="zh-CN"/>
        </w:rPr>
        <w:t xml:space="preserve"> status or RFS. All analyses only </w:t>
      </w:r>
      <w:r w:rsidR="00E16F3B">
        <w:rPr>
          <w:rFonts w:ascii="Arial" w:eastAsiaTheme="minorEastAsia" w:hAnsi="Arial" w:cs="Arial"/>
          <w:sz w:val="24"/>
          <w:szCs w:val="24"/>
          <w:lang w:eastAsia="zh-CN"/>
        </w:rPr>
        <w:t>involving</w:t>
      </w:r>
      <w:r w:rsidR="00E16F3B">
        <w:rPr>
          <w:rFonts w:ascii="Arial" w:eastAsiaTheme="minorEastAsia" w:hAnsi="Arial" w:cs="Arial" w:hint="eastAsia"/>
          <w:sz w:val="24"/>
          <w:szCs w:val="24"/>
          <w:lang w:eastAsia="zh-CN"/>
        </w:rPr>
        <w:t xml:space="preserve"> serial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test data included 103 patients who completed serial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sequencing, for example, association of acquire</w:t>
      </w:r>
      <w:r w:rsidR="00B32545">
        <w:rPr>
          <w:rFonts w:ascii="Arial" w:eastAsiaTheme="minorEastAsia" w:hAnsi="Arial" w:cs="Arial"/>
          <w:sz w:val="24"/>
          <w:szCs w:val="24"/>
          <w:lang w:eastAsia="zh-CN"/>
        </w:rPr>
        <w:t>d</w:t>
      </w:r>
      <w:r w:rsidR="00E16F3B">
        <w:rPr>
          <w:rFonts w:ascii="Arial" w:eastAsiaTheme="minorEastAsia" w:hAnsi="Arial" w:cs="Arial" w:hint="eastAsia"/>
          <w:sz w:val="24"/>
          <w:szCs w:val="24"/>
          <w:lang w:eastAsia="zh-CN"/>
        </w:rPr>
        <w:t xml:space="preserve"> mutation with </w:t>
      </w:r>
      <w:proofErr w:type="spellStart"/>
      <w:r w:rsidR="00E16F3B">
        <w:rPr>
          <w:rFonts w:ascii="Arial" w:eastAsiaTheme="minorEastAsia" w:hAnsi="Arial" w:cs="Arial" w:hint="eastAsia"/>
          <w:sz w:val="24"/>
          <w:szCs w:val="24"/>
          <w:lang w:eastAsia="zh-CN"/>
        </w:rPr>
        <w:t>pCR</w:t>
      </w:r>
      <w:proofErr w:type="spellEnd"/>
      <w:r w:rsidR="00E16F3B">
        <w:rPr>
          <w:rFonts w:ascii="Arial" w:eastAsiaTheme="minorEastAsia" w:hAnsi="Arial" w:cs="Arial" w:hint="eastAsia"/>
          <w:sz w:val="24"/>
          <w:szCs w:val="24"/>
          <w:lang w:eastAsia="zh-CN"/>
        </w:rPr>
        <w:t xml:space="preserve"> status. All analyses involving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clearance (no matter other features were </w:t>
      </w:r>
      <w:r w:rsidR="00E16F3B">
        <w:rPr>
          <w:rFonts w:ascii="Arial" w:eastAsiaTheme="minorEastAsia" w:hAnsi="Arial" w:cs="Arial"/>
          <w:sz w:val="24"/>
          <w:szCs w:val="24"/>
          <w:lang w:eastAsia="zh-CN"/>
        </w:rPr>
        <w:t>involved</w:t>
      </w:r>
      <w:r w:rsidR="00E16F3B">
        <w:rPr>
          <w:rFonts w:ascii="Arial" w:eastAsiaTheme="minorEastAsia" w:hAnsi="Arial" w:cs="Arial" w:hint="eastAsia"/>
          <w:sz w:val="24"/>
          <w:szCs w:val="24"/>
          <w:lang w:eastAsia="zh-CN"/>
        </w:rPr>
        <w:t xml:space="preserve">) included 89 patients who completed baseline and serial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sequencing, at the same time, had detectable mutations at baseline, because </w:t>
      </w:r>
      <w:proofErr w:type="spellStart"/>
      <w:r w:rsidR="00E16F3B">
        <w:rPr>
          <w:rFonts w:ascii="Arial" w:eastAsiaTheme="minorEastAsia" w:hAnsi="Arial" w:cs="Arial" w:hint="eastAsia"/>
          <w:sz w:val="24"/>
          <w:szCs w:val="24"/>
          <w:lang w:eastAsia="zh-CN"/>
        </w:rPr>
        <w:t>ctDNA</w:t>
      </w:r>
      <w:proofErr w:type="spellEnd"/>
      <w:r w:rsidR="00E16F3B">
        <w:rPr>
          <w:rFonts w:ascii="Arial" w:eastAsiaTheme="minorEastAsia" w:hAnsi="Arial" w:cs="Arial" w:hint="eastAsia"/>
          <w:sz w:val="24"/>
          <w:szCs w:val="24"/>
          <w:lang w:eastAsia="zh-CN"/>
        </w:rPr>
        <w:t xml:space="preserve"> clearance was defined as the clearance of the </w:t>
      </w:r>
      <w:r w:rsidR="00E16F3B">
        <w:rPr>
          <w:rFonts w:ascii="Arial" w:eastAsiaTheme="minorEastAsia" w:hAnsi="Arial" w:cs="Arial"/>
          <w:sz w:val="24"/>
          <w:szCs w:val="24"/>
          <w:lang w:eastAsia="zh-CN"/>
        </w:rPr>
        <w:t>mutation</w:t>
      </w:r>
      <w:r w:rsidR="00E16F3B">
        <w:rPr>
          <w:rFonts w:ascii="Arial" w:eastAsiaTheme="minorEastAsia" w:hAnsi="Arial" w:cs="Arial" w:hint="eastAsia"/>
          <w:sz w:val="24"/>
          <w:szCs w:val="24"/>
          <w:lang w:eastAsia="zh-CN"/>
        </w:rPr>
        <w:t xml:space="preserve"> with the highest VAF at baseline during </w:t>
      </w:r>
      <w:proofErr w:type="spellStart"/>
      <w:r w:rsidR="00E16F3B">
        <w:rPr>
          <w:rFonts w:ascii="Arial" w:eastAsiaTheme="minorEastAsia" w:hAnsi="Arial" w:cs="Arial" w:hint="eastAsia"/>
          <w:sz w:val="24"/>
          <w:szCs w:val="24"/>
          <w:lang w:eastAsia="zh-CN"/>
        </w:rPr>
        <w:t>nCRT</w:t>
      </w:r>
      <w:proofErr w:type="spellEnd"/>
      <w:r w:rsidR="00E16F3B">
        <w:rPr>
          <w:rFonts w:ascii="Arial" w:eastAsiaTheme="minorEastAsia" w:hAnsi="Arial" w:cs="Arial" w:hint="eastAsia"/>
          <w:sz w:val="24"/>
          <w:szCs w:val="24"/>
          <w:lang w:eastAsia="zh-CN"/>
        </w:rPr>
        <w:t xml:space="preserve">. If a patient </w:t>
      </w:r>
      <w:r w:rsidR="00444CA7">
        <w:rPr>
          <w:rFonts w:ascii="Arial" w:eastAsiaTheme="minorEastAsia" w:hAnsi="Arial" w:cs="Arial" w:hint="eastAsia"/>
          <w:sz w:val="24"/>
          <w:szCs w:val="24"/>
          <w:lang w:eastAsia="zh-CN"/>
        </w:rPr>
        <w:t>had no</w:t>
      </w:r>
      <w:r w:rsidR="00E16F3B">
        <w:rPr>
          <w:rFonts w:ascii="Arial" w:eastAsiaTheme="minorEastAsia" w:hAnsi="Arial" w:cs="Arial" w:hint="eastAsia"/>
          <w:sz w:val="24"/>
          <w:szCs w:val="24"/>
          <w:lang w:eastAsia="zh-CN"/>
        </w:rPr>
        <w:t xml:space="preserve"> detectable mutations </w:t>
      </w:r>
      <w:r w:rsidR="00444CA7">
        <w:rPr>
          <w:rFonts w:ascii="Arial" w:eastAsiaTheme="minorEastAsia" w:hAnsi="Arial" w:cs="Arial" w:hint="eastAsia"/>
          <w:sz w:val="24"/>
          <w:szCs w:val="24"/>
          <w:lang w:eastAsia="zh-CN"/>
        </w:rPr>
        <w:t xml:space="preserve">at baseline, </w:t>
      </w:r>
      <w:proofErr w:type="spellStart"/>
      <w:r w:rsidR="00444CA7">
        <w:rPr>
          <w:rFonts w:ascii="Arial" w:eastAsiaTheme="minorEastAsia" w:hAnsi="Arial" w:cs="Arial" w:hint="eastAsia"/>
          <w:sz w:val="24"/>
          <w:szCs w:val="24"/>
          <w:lang w:eastAsia="zh-CN"/>
        </w:rPr>
        <w:t>ctDNA</w:t>
      </w:r>
      <w:proofErr w:type="spellEnd"/>
      <w:r w:rsidR="00444CA7">
        <w:rPr>
          <w:rFonts w:ascii="Arial" w:eastAsiaTheme="minorEastAsia" w:hAnsi="Arial" w:cs="Arial" w:hint="eastAsia"/>
          <w:sz w:val="24"/>
          <w:szCs w:val="24"/>
          <w:lang w:eastAsia="zh-CN"/>
        </w:rPr>
        <w:t xml:space="preserve"> </w:t>
      </w:r>
      <w:r w:rsidR="00444CA7">
        <w:rPr>
          <w:rFonts w:ascii="Arial" w:eastAsiaTheme="minorEastAsia" w:hAnsi="Arial" w:cs="Arial"/>
          <w:sz w:val="24"/>
          <w:szCs w:val="24"/>
          <w:lang w:eastAsia="zh-CN"/>
        </w:rPr>
        <w:t>clearance</w:t>
      </w:r>
      <w:r w:rsidR="00444CA7">
        <w:rPr>
          <w:rFonts w:ascii="Arial" w:eastAsiaTheme="minorEastAsia" w:hAnsi="Arial" w:cs="Arial" w:hint="eastAsia"/>
          <w:sz w:val="24"/>
          <w:szCs w:val="24"/>
          <w:lang w:eastAsia="zh-CN"/>
        </w:rPr>
        <w:t xml:space="preserve"> tracking was unavailable in this patient. </w:t>
      </w:r>
    </w:p>
    <w:p w14:paraId="787D9A18" w14:textId="77777777" w:rsidR="00D57AAD" w:rsidRPr="009428A4" w:rsidRDefault="00D57AAD" w:rsidP="00BE362E">
      <w:pPr>
        <w:pStyle w:val="a3"/>
        <w:spacing w:beforeLines="50" w:before="180" w:after="120"/>
        <w:rPr>
          <w:rFonts w:ascii="Arial" w:hAnsi="Arial" w:cs="Arial"/>
          <w:sz w:val="24"/>
          <w:szCs w:val="24"/>
        </w:rPr>
      </w:pPr>
    </w:p>
    <w:p w14:paraId="058D763F" w14:textId="77777777" w:rsidR="008778A7" w:rsidRPr="00444CA7" w:rsidRDefault="00444CA7" w:rsidP="00BE362E">
      <w:pPr>
        <w:pStyle w:val="a3"/>
        <w:numPr>
          <w:ilvl w:val="0"/>
          <w:numId w:val="3"/>
        </w:numPr>
        <w:spacing w:beforeLines="50" w:before="180" w:after="120"/>
        <w:rPr>
          <w:rFonts w:ascii="Arial" w:hAnsi="Arial" w:cs="Arial"/>
          <w:sz w:val="24"/>
          <w:szCs w:val="24"/>
        </w:rPr>
      </w:pPr>
      <w:r>
        <w:rPr>
          <w:rFonts w:ascii="Arial" w:eastAsiaTheme="minorEastAsia" w:hAnsi="Arial" w:cs="Arial" w:hint="eastAsia"/>
          <w:sz w:val="24"/>
          <w:szCs w:val="24"/>
          <w:lang w:eastAsia="zh-CN"/>
        </w:rPr>
        <w:lastRenderedPageBreak/>
        <w:t>After feature selection, 6 features were selected for predictive model construction including baseline TP53 mutation status, baseline HRR (</w:t>
      </w:r>
      <w:r w:rsidRPr="00565C30">
        <w:rPr>
          <w:rFonts w:ascii="Arial" w:hAnsi="Arial" w:cs="Arial"/>
          <w:color w:val="202020"/>
          <w:sz w:val="24"/>
          <w:szCs w:val="24"/>
          <w:shd w:val="clear" w:color="auto" w:fill="FFFFFF"/>
        </w:rPr>
        <w:t>homologous recombination</w:t>
      </w:r>
      <w:r>
        <w:rPr>
          <w:rFonts w:ascii="Arial" w:hAnsi="Arial" w:cs="Arial" w:hint="eastAsia"/>
          <w:color w:val="202020"/>
          <w:sz w:val="24"/>
          <w:szCs w:val="24"/>
          <w:shd w:val="clear" w:color="auto" w:fill="FFFFFF"/>
        </w:rPr>
        <w:t xml:space="preserve"> repair</w:t>
      </w:r>
      <w:r>
        <w:rPr>
          <w:rFonts w:ascii="Arial" w:eastAsiaTheme="minorEastAsia" w:hAnsi="Arial" w:cs="Arial" w:hint="eastAsia"/>
          <w:color w:val="202020"/>
          <w:sz w:val="24"/>
          <w:szCs w:val="24"/>
          <w:shd w:val="clear" w:color="auto" w:fill="FFFFFF"/>
          <w:lang w:eastAsia="zh-CN"/>
        </w:rPr>
        <w:t>) mutation status, baseline HMT (</w:t>
      </w:r>
      <w:r w:rsidRPr="00565C30">
        <w:rPr>
          <w:rFonts w:ascii="Arial" w:hAnsi="Arial" w:cs="Arial"/>
          <w:color w:val="202020"/>
          <w:sz w:val="24"/>
          <w:szCs w:val="24"/>
          <w:shd w:val="clear" w:color="auto" w:fill="FFFFFF"/>
        </w:rPr>
        <w:t>histone methyltransferase</w:t>
      </w:r>
      <w:r>
        <w:rPr>
          <w:rFonts w:ascii="Arial" w:eastAsiaTheme="minorEastAsia" w:hAnsi="Arial" w:cs="Arial" w:hint="eastAsia"/>
          <w:color w:val="202020"/>
          <w:sz w:val="24"/>
          <w:szCs w:val="24"/>
          <w:shd w:val="clear" w:color="auto" w:fill="FFFFFF"/>
          <w:lang w:eastAsia="zh-CN"/>
        </w:rPr>
        <w:t>) mutation status, T234_clearance</w:t>
      </w:r>
      <w:r>
        <w:rPr>
          <w:rFonts w:ascii="Arial" w:eastAsiaTheme="minorEastAsia" w:hAnsi="Arial" w:cs="Arial" w:hint="eastAsia"/>
          <w:sz w:val="24"/>
          <w:szCs w:val="24"/>
          <w:lang w:eastAsia="zh-CN"/>
        </w:rPr>
        <w:t>, acquire</w:t>
      </w:r>
      <w:r w:rsidR="00275AF7">
        <w:rPr>
          <w:rFonts w:ascii="Arial" w:eastAsiaTheme="minorEastAsia" w:hAnsi="Arial" w:cs="Arial"/>
          <w:sz w:val="24"/>
          <w:szCs w:val="24"/>
          <w:lang w:eastAsia="zh-CN"/>
        </w:rPr>
        <w:t>d</w:t>
      </w:r>
      <w:r>
        <w:rPr>
          <w:rFonts w:ascii="Arial" w:eastAsiaTheme="minorEastAsia" w:hAnsi="Arial" w:cs="Arial" w:hint="eastAsia"/>
          <w:sz w:val="24"/>
          <w:szCs w:val="24"/>
          <w:lang w:eastAsia="zh-CN"/>
        </w:rPr>
        <w:t xml:space="preserve"> mutation status and </w:t>
      </w:r>
      <w:proofErr w:type="spellStart"/>
      <w:r>
        <w:rPr>
          <w:rFonts w:ascii="Arial" w:eastAsiaTheme="minorEastAsia" w:hAnsi="Arial" w:cs="Arial" w:hint="eastAsia"/>
          <w:sz w:val="24"/>
          <w:szCs w:val="24"/>
          <w:lang w:eastAsia="zh-CN"/>
        </w:rPr>
        <w:t>mrTRG</w:t>
      </w:r>
      <w:proofErr w:type="spellEnd"/>
      <w:r>
        <w:rPr>
          <w:rFonts w:ascii="Arial" w:eastAsiaTheme="minorEastAsia" w:hAnsi="Arial" w:cs="Arial" w:hint="eastAsia"/>
          <w:sz w:val="24"/>
          <w:szCs w:val="24"/>
          <w:lang w:eastAsia="zh-CN"/>
        </w:rPr>
        <w:t xml:space="preserve">. Model with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information only included the first 5 features; model with </w:t>
      </w:r>
      <w:proofErr w:type="spellStart"/>
      <w:r>
        <w:rPr>
          <w:rFonts w:ascii="Arial" w:eastAsiaTheme="minorEastAsia" w:hAnsi="Arial" w:cs="Arial" w:hint="eastAsia"/>
          <w:sz w:val="24"/>
          <w:szCs w:val="24"/>
          <w:lang w:eastAsia="zh-CN"/>
        </w:rPr>
        <w:t>mrTRG</w:t>
      </w:r>
      <w:proofErr w:type="spellEnd"/>
      <w:r>
        <w:rPr>
          <w:rFonts w:ascii="Arial" w:eastAsiaTheme="minorEastAsia" w:hAnsi="Arial" w:cs="Arial" w:hint="eastAsia"/>
          <w:sz w:val="24"/>
          <w:szCs w:val="24"/>
          <w:lang w:eastAsia="zh-CN"/>
        </w:rPr>
        <w:t xml:space="preserve"> information only included the </w:t>
      </w:r>
      <w:proofErr w:type="spellStart"/>
      <w:r>
        <w:rPr>
          <w:rFonts w:ascii="Arial" w:eastAsiaTheme="minorEastAsia" w:hAnsi="Arial" w:cs="Arial" w:hint="eastAsia"/>
          <w:sz w:val="24"/>
          <w:szCs w:val="24"/>
          <w:lang w:eastAsia="zh-CN"/>
        </w:rPr>
        <w:t>mrTRG</w:t>
      </w:r>
      <w:proofErr w:type="spellEnd"/>
      <w:r>
        <w:rPr>
          <w:rFonts w:ascii="Arial" w:eastAsiaTheme="minorEastAsia" w:hAnsi="Arial" w:cs="Arial" w:hint="eastAsia"/>
          <w:sz w:val="24"/>
          <w:szCs w:val="24"/>
          <w:lang w:eastAsia="zh-CN"/>
        </w:rPr>
        <w:t xml:space="preserve"> feature, and the combining model included all of the 6 features. </w:t>
      </w:r>
    </w:p>
    <w:p w14:paraId="1EFDF52D" w14:textId="77777777" w:rsidR="005979FC" w:rsidRPr="005979FC" w:rsidRDefault="005979FC" w:rsidP="00BE362E">
      <w:pPr>
        <w:pStyle w:val="a3"/>
        <w:numPr>
          <w:ilvl w:val="0"/>
          <w:numId w:val="3"/>
        </w:numPr>
        <w:spacing w:beforeLines="50" w:before="180" w:after="120"/>
        <w:rPr>
          <w:rFonts w:ascii="Arial" w:hAnsi="Arial" w:cs="Arial"/>
          <w:sz w:val="24"/>
          <w:szCs w:val="24"/>
        </w:rPr>
      </w:pPr>
      <w:r>
        <w:rPr>
          <w:rFonts w:ascii="Arial" w:eastAsia="宋体" w:hAnsi="Arial" w:cs="Arial" w:hint="eastAsia"/>
          <w:sz w:val="24"/>
          <w:szCs w:val="24"/>
          <w:lang w:eastAsia="zh-CN"/>
        </w:rPr>
        <w:t xml:space="preserve">A newly published study showed that detection of 15 potential colorectal cancer gene mutations after </w:t>
      </w:r>
      <w:proofErr w:type="spellStart"/>
      <w:r>
        <w:rPr>
          <w:rFonts w:ascii="Arial" w:eastAsia="宋体" w:hAnsi="Arial" w:cs="Arial" w:hint="eastAsia"/>
          <w:sz w:val="24"/>
          <w:szCs w:val="24"/>
          <w:lang w:eastAsia="zh-CN"/>
        </w:rPr>
        <w:t>nCRT</w:t>
      </w:r>
      <w:proofErr w:type="spellEnd"/>
      <w:r>
        <w:rPr>
          <w:rFonts w:ascii="Arial" w:eastAsia="宋体" w:hAnsi="Arial" w:cs="Arial" w:hint="eastAsia"/>
          <w:sz w:val="24"/>
          <w:szCs w:val="24"/>
          <w:lang w:eastAsia="zh-CN"/>
        </w:rPr>
        <w:t xml:space="preserve"> or surgery was associated with a worse RFS (</w:t>
      </w:r>
      <w:r w:rsidRPr="005979FC">
        <w:rPr>
          <w:rFonts w:ascii="Arial" w:eastAsia="宋体" w:hAnsi="Arial" w:cs="Arial"/>
          <w:sz w:val="24"/>
          <w:szCs w:val="24"/>
          <w:lang w:eastAsia="zh-CN"/>
        </w:rPr>
        <w:t xml:space="preserve">Tie J, et al. Gut. 2019;68(4):663-71. </w:t>
      </w:r>
      <w:proofErr w:type="spellStart"/>
      <w:r w:rsidRPr="005979FC">
        <w:rPr>
          <w:rFonts w:ascii="Arial" w:eastAsia="宋体" w:hAnsi="Arial" w:cs="Arial"/>
          <w:sz w:val="24"/>
          <w:szCs w:val="24"/>
          <w:lang w:eastAsia="zh-CN"/>
        </w:rPr>
        <w:t>doi</w:t>
      </w:r>
      <w:proofErr w:type="spellEnd"/>
      <w:r w:rsidRPr="005979FC">
        <w:rPr>
          <w:rFonts w:ascii="Arial" w:eastAsia="宋体" w:hAnsi="Arial" w:cs="Arial"/>
          <w:sz w:val="24"/>
          <w:szCs w:val="24"/>
          <w:lang w:eastAsia="zh-CN"/>
        </w:rPr>
        <w:t>: 10.1136/gutjnl-2017-315852</w:t>
      </w:r>
      <w:r>
        <w:rPr>
          <w:rFonts w:ascii="Arial" w:eastAsia="宋体" w:hAnsi="Arial" w:cs="Arial" w:hint="eastAsia"/>
          <w:sz w:val="24"/>
          <w:szCs w:val="24"/>
          <w:lang w:eastAsia="zh-CN"/>
        </w:rPr>
        <w:t xml:space="preserve">). We thereby </w:t>
      </w:r>
      <w:r>
        <w:rPr>
          <w:rFonts w:ascii="Arial" w:eastAsia="宋体" w:hAnsi="Arial" w:cs="Arial"/>
          <w:sz w:val="24"/>
          <w:szCs w:val="24"/>
          <w:lang w:eastAsia="zh-CN"/>
        </w:rPr>
        <w:t>investigated</w:t>
      </w:r>
      <w:r>
        <w:rPr>
          <w:rFonts w:ascii="Arial" w:eastAsia="宋体" w:hAnsi="Arial" w:cs="Arial" w:hint="eastAsia"/>
          <w:sz w:val="24"/>
          <w:szCs w:val="24"/>
          <w:lang w:eastAsia="zh-CN"/>
        </w:rPr>
        <w:t xml:space="preserve"> w</w:t>
      </w:r>
      <w:r w:rsidRPr="005979FC">
        <w:rPr>
          <w:rFonts w:ascii="Arial" w:eastAsia="宋体" w:hAnsi="Arial" w:cs="Arial"/>
          <w:sz w:val="24"/>
          <w:szCs w:val="24"/>
          <w:lang w:eastAsia="zh-CN"/>
        </w:rPr>
        <w:t xml:space="preserve">hether detection of 15 potential colorectal cancer driver genes can predict patients’ RFS </w:t>
      </w:r>
      <w:r>
        <w:rPr>
          <w:rFonts w:ascii="Arial" w:eastAsia="宋体" w:hAnsi="Arial" w:cs="Arial" w:hint="eastAsia"/>
          <w:sz w:val="24"/>
          <w:szCs w:val="24"/>
          <w:lang w:eastAsia="zh-CN"/>
        </w:rPr>
        <w:t xml:space="preserve">in our cohort </w:t>
      </w:r>
      <w:r w:rsidRPr="005979FC">
        <w:rPr>
          <w:rFonts w:ascii="Arial" w:eastAsia="宋体" w:hAnsi="Arial" w:cs="Arial"/>
          <w:sz w:val="24"/>
          <w:szCs w:val="24"/>
          <w:lang w:eastAsia="zh-CN"/>
        </w:rPr>
        <w:t>(Kaplan–Meier estimation and Cox regression model)</w:t>
      </w:r>
      <w:r>
        <w:rPr>
          <w:rFonts w:ascii="Arial" w:eastAsia="宋体" w:hAnsi="Arial" w:cs="Arial" w:hint="eastAsia"/>
          <w:sz w:val="24"/>
          <w:szCs w:val="24"/>
          <w:lang w:eastAsia="zh-CN"/>
        </w:rPr>
        <w:t xml:space="preserve">.  </w:t>
      </w:r>
    </w:p>
    <w:p w14:paraId="0FB39239" w14:textId="77777777" w:rsidR="008778A7" w:rsidRPr="00D3647C" w:rsidRDefault="00D3647C" w:rsidP="00BE362E">
      <w:pPr>
        <w:pStyle w:val="a3"/>
        <w:numPr>
          <w:ilvl w:val="0"/>
          <w:numId w:val="3"/>
        </w:numPr>
        <w:spacing w:beforeLines="50" w:before="180" w:after="120"/>
        <w:rPr>
          <w:rFonts w:ascii="Arial" w:hAnsi="Arial" w:cs="Arial"/>
          <w:sz w:val="24"/>
          <w:szCs w:val="24"/>
        </w:rPr>
      </w:pPr>
      <w:r>
        <w:rPr>
          <w:rFonts w:ascii="Arial" w:eastAsiaTheme="minorEastAsia" w:hAnsi="Arial" w:cs="Arial" w:hint="eastAsia"/>
          <w:sz w:val="24"/>
          <w:szCs w:val="24"/>
          <w:lang w:eastAsia="zh-CN"/>
        </w:rPr>
        <w:t xml:space="preserve">After initial survival analysis, it was found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clearance or detection of potential CRC driver gene mutations can only explain part of the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recurrence, a certain proportion of patients with recurrence were negative in the two features. To seek the underlying cause of the recurrence in these patients, we further investigated how postoperative pathological characteristics affected patients</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recurrence including lymph node metastasis, </w:t>
      </w:r>
      <w:proofErr w:type="spellStart"/>
      <w:r>
        <w:rPr>
          <w:rFonts w:ascii="Arial" w:eastAsiaTheme="minorEastAsia" w:hAnsi="Arial" w:cs="Arial" w:hint="eastAsia"/>
          <w:sz w:val="24"/>
          <w:szCs w:val="24"/>
          <w:lang w:eastAsia="zh-CN"/>
        </w:rPr>
        <w:t>tumor</w:t>
      </w:r>
      <w:proofErr w:type="spellEnd"/>
      <w:r>
        <w:rPr>
          <w:rFonts w:ascii="Arial" w:eastAsiaTheme="minorEastAsia" w:hAnsi="Arial" w:cs="Arial" w:hint="eastAsia"/>
          <w:sz w:val="24"/>
          <w:szCs w:val="24"/>
          <w:lang w:eastAsia="zh-CN"/>
        </w:rPr>
        <w:t xml:space="preserve"> deposit, </w:t>
      </w:r>
      <w:r w:rsidRPr="00D3647C">
        <w:rPr>
          <w:rStyle w:val="a6"/>
          <w:rFonts w:ascii="Arial" w:eastAsia="宋体" w:hAnsi="Arial" w:cs="Arial"/>
          <w:i w:val="0"/>
          <w:sz w:val="24"/>
          <w:szCs w:val="24"/>
          <w:shd w:val="clear" w:color="auto" w:fill="FFFFFF"/>
        </w:rPr>
        <w:t>perineural invasion</w:t>
      </w:r>
      <w:r>
        <w:rPr>
          <w:rFonts w:ascii="Arial" w:eastAsiaTheme="minorEastAsia" w:hAnsi="Arial" w:cs="Arial" w:hint="eastAsia"/>
          <w:sz w:val="24"/>
          <w:szCs w:val="24"/>
          <w:lang w:eastAsia="zh-CN"/>
        </w:rPr>
        <w:t xml:space="preserve"> and vascular invasion, and found majority of patients with recurrence were positive in one or more of the above pathological features; we thereby defined a </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high-risk feature</w:t>
      </w:r>
      <w:r>
        <w:rPr>
          <w:rFonts w:ascii="Arial" w:eastAsiaTheme="minorEastAsia" w:hAnsi="Arial" w:cs="Arial"/>
          <w:sz w:val="24"/>
          <w:szCs w:val="24"/>
          <w:lang w:eastAsia="zh-CN"/>
        </w:rPr>
        <w:t>”</w:t>
      </w:r>
      <w:r>
        <w:rPr>
          <w:rFonts w:ascii="Arial" w:eastAsiaTheme="minorEastAsia" w:hAnsi="Arial" w:cs="Arial" w:hint="eastAsia"/>
          <w:sz w:val="24"/>
          <w:szCs w:val="24"/>
          <w:lang w:eastAsia="zh-CN"/>
        </w:rPr>
        <w:t xml:space="preserve">, to represent positive in at least one of the above pathological features as well as baseline TP53 and KRAS mutation. By combining </w:t>
      </w:r>
      <w:proofErr w:type="spellStart"/>
      <w:r>
        <w:rPr>
          <w:rFonts w:ascii="Arial" w:eastAsiaTheme="minorEastAsia" w:hAnsi="Arial" w:cs="Arial" w:hint="eastAsia"/>
          <w:sz w:val="24"/>
          <w:szCs w:val="24"/>
          <w:lang w:eastAsia="zh-CN"/>
        </w:rPr>
        <w:t>ctDNA</w:t>
      </w:r>
      <w:proofErr w:type="spellEnd"/>
      <w:r>
        <w:rPr>
          <w:rFonts w:ascii="Arial" w:eastAsiaTheme="minorEastAsia" w:hAnsi="Arial" w:cs="Arial" w:hint="eastAsia"/>
          <w:sz w:val="24"/>
          <w:szCs w:val="24"/>
          <w:lang w:eastAsia="zh-CN"/>
        </w:rPr>
        <w:t xml:space="preserve"> features with high-risk feature, </w:t>
      </w:r>
      <w:r w:rsidR="00CD6AFD">
        <w:rPr>
          <w:rFonts w:ascii="Arial" w:eastAsiaTheme="minorEastAsia" w:hAnsi="Arial" w:cs="Arial" w:hint="eastAsia"/>
          <w:sz w:val="24"/>
          <w:szCs w:val="24"/>
          <w:lang w:eastAsia="zh-CN"/>
        </w:rPr>
        <w:t>recurrence prediction and risk stratification were further improved.</w:t>
      </w:r>
    </w:p>
    <w:p w14:paraId="76FD4422" w14:textId="77777777" w:rsidR="00D3647C" w:rsidRDefault="00D3647C" w:rsidP="00BE362E">
      <w:pPr>
        <w:pStyle w:val="a3"/>
        <w:spacing w:beforeLines="50" w:before="180" w:after="120"/>
        <w:ind w:left="0"/>
        <w:rPr>
          <w:rFonts w:ascii="Arial" w:eastAsiaTheme="minorEastAsia" w:hAnsi="Arial" w:cs="Arial"/>
          <w:sz w:val="24"/>
          <w:szCs w:val="24"/>
          <w:lang w:eastAsia="zh-CN"/>
        </w:rPr>
      </w:pPr>
    </w:p>
    <w:p w14:paraId="6D2BCBBA" w14:textId="77777777" w:rsidR="00CD6AFD" w:rsidRDefault="00F40420" w:rsidP="00BE362E">
      <w:pPr>
        <w:pStyle w:val="a3"/>
        <w:spacing w:beforeLines="50" w:before="180" w:after="120"/>
        <w:ind w:left="0"/>
        <w:rPr>
          <w:rFonts w:ascii="Arial" w:eastAsiaTheme="minorEastAsia" w:hAnsi="Arial" w:cs="Arial"/>
          <w:b/>
          <w:sz w:val="24"/>
          <w:szCs w:val="24"/>
          <w:lang w:eastAsia="zh-CN"/>
        </w:rPr>
      </w:pPr>
      <w:r w:rsidRPr="009428A4">
        <w:rPr>
          <w:rFonts w:ascii="Arial" w:hAnsi="Arial" w:cs="Arial"/>
          <w:b/>
          <w:sz w:val="24"/>
          <w:szCs w:val="24"/>
        </w:rPr>
        <w:t xml:space="preserve">Additional analyses through review process </w:t>
      </w:r>
    </w:p>
    <w:p w14:paraId="443396AE" w14:textId="77777777" w:rsidR="00E82050" w:rsidRPr="009428A4" w:rsidRDefault="00D857A0" w:rsidP="00BE362E">
      <w:pPr>
        <w:pStyle w:val="a3"/>
        <w:numPr>
          <w:ilvl w:val="0"/>
          <w:numId w:val="3"/>
        </w:numPr>
        <w:spacing w:beforeLines="50" w:before="180" w:after="120"/>
        <w:rPr>
          <w:rFonts w:ascii="Arial" w:hAnsi="Arial" w:cs="Arial"/>
          <w:sz w:val="24"/>
          <w:szCs w:val="24"/>
        </w:rPr>
      </w:pPr>
      <w:r>
        <w:rPr>
          <w:rFonts w:ascii="Arial" w:eastAsiaTheme="minorEastAsia" w:hAnsi="Arial" w:cs="Arial" w:hint="eastAsia"/>
          <w:sz w:val="24"/>
          <w:szCs w:val="24"/>
          <w:lang w:eastAsia="zh-CN"/>
        </w:rPr>
        <w:t xml:space="preserve">Feature selection process was further </w:t>
      </w:r>
      <w:r w:rsidRPr="00D857A0">
        <w:rPr>
          <w:rFonts w:ascii="Arial" w:eastAsiaTheme="minorEastAsia" w:hAnsi="Arial" w:cs="Arial"/>
          <w:sz w:val="24"/>
          <w:szCs w:val="24"/>
          <w:lang w:eastAsia="zh-CN"/>
        </w:rPr>
        <w:t>systematically</w:t>
      </w:r>
      <w:r>
        <w:rPr>
          <w:rFonts w:ascii="Arial" w:eastAsiaTheme="minorEastAsia" w:hAnsi="Arial" w:cs="Arial" w:hint="eastAsia"/>
          <w:sz w:val="24"/>
          <w:szCs w:val="24"/>
          <w:lang w:eastAsia="zh-CN"/>
        </w:rPr>
        <w:t xml:space="preserve"> clarified and associated figures and tables were provided in revised manuscript.</w:t>
      </w:r>
      <w:r w:rsidR="00F40420" w:rsidRPr="009428A4">
        <w:rPr>
          <w:rFonts w:ascii="Arial" w:hAnsi="Arial" w:cs="Arial"/>
          <w:sz w:val="24"/>
          <w:szCs w:val="24"/>
        </w:rPr>
        <w:t xml:space="preserve"> </w:t>
      </w:r>
    </w:p>
    <w:p w14:paraId="0A2871A6" w14:textId="77777777" w:rsidR="005A13B4" w:rsidRPr="009428A4" w:rsidRDefault="00D857A0" w:rsidP="00F542C8">
      <w:pPr>
        <w:pStyle w:val="a3"/>
        <w:numPr>
          <w:ilvl w:val="0"/>
          <w:numId w:val="3"/>
        </w:numPr>
        <w:spacing w:beforeLines="50" w:before="180" w:after="120"/>
        <w:rPr>
          <w:rFonts w:ascii="Arial" w:hAnsi="Arial" w:cs="Arial"/>
          <w:sz w:val="24"/>
          <w:szCs w:val="24"/>
        </w:rPr>
      </w:pPr>
      <w:r>
        <w:rPr>
          <w:rFonts w:ascii="Arial" w:eastAsiaTheme="minorEastAsia" w:hAnsi="Arial" w:cs="Arial" w:hint="eastAsia"/>
          <w:sz w:val="24"/>
          <w:szCs w:val="24"/>
          <w:lang w:eastAsia="zh-CN"/>
        </w:rPr>
        <w:t xml:space="preserve">Clearance of HRR and HMT mutation during </w:t>
      </w:r>
      <w:proofErr w:type="spellStart"/>
      <w:r>
        <w:rPr>
          <w:rFonts w:ascii="Arial" w:eastAsiaTheme="minorEastAsia" w:hAnsi="Arial" w:cs="Arial" w:hint="eastAsia"/>
          <w:sz w:val="24"/>
          <w:szCs w:val="24"/>
          <w:lang w:eastAsia="zh-CN"/>
        </w:rPr>
        <w:t>nCRT</w:t>
      </w:r>
      <w:proofErr w:type="spellEnd"/>
      <w:r>
        <w:rPr>
          <w:rFonts w:ascii="Arial" w:eastAsiaTheme="minorEastAsia" w:hAnsi="Arial" w:cs="Arial" w:hint="eastAsia"/>
          <w:sz w:val="24"/>
          <w:szCs w:val="24"/>
          <w:lang w:eastAsia="zh-CN"/>
        </w:rPr>
        <w:t xml:space="preserve"> was analysed and compared with other KEGG pathways.</w:t>
      </w:r>
      <w:r w:rsidR="00BC56DF" w:rsidRPr="009428A4">
        <w:rPr>
          <w:rFonts w:ascii="Arial" w:hAnsi="Arial" w:cs="Arial"/>
          <w:sz w:val="24"/>
          <w:szCs w:val="24"/>
        </w:rPr>
        <w:t xml:space="preserve"> </w:t>
      </w:r>
    </w:p>
    <w:sectPr w:rsidR="005A13B4" w:rsidRPr="009428A4" w:rsidSect="004A36AE">
      <w:pgSz w:w="11900" w:h="16840"/>
      <w:pgMar w:top="866"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7E939" w14:textId="77777777" w:rsidR="00914EEE" w:rsidRDefault="00914EEE" w:rsidP="00212EBB">
      <w:pPr>
        <w:spacing w:after="0" w:line="240" w:lineRule="auto"/>
      </w:pPr>
      <w:r>
        <w:separator/>
      </w:r>
    </w:p>
  </w:endnote>
  <w:endnote w:type="continuationSeparator" w:id="0">
    <w:p w14:paraId="549472E5" w14:textId="77777777" w:rsidR="00914EEE" w:rsidRDefault="00914EEE" w:rsidP="0021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0092" w14:textId="77777777" w:rsidR="00914EEE" w:rsidRDefault="00914EEE" w:rsidP="00212EBB">
      <w:pPr>
        <w:spacing w:after="0" w:line="240" w:lineRule="auto"/>
      </w:pPr>
      <w:r>
        <w:separator/>
      </w:r>
    </w:p>
  </w:footnote>
  <w:footnote w:type="continuationSeparator" w:id="0">
    <w:p w14:paraId="67E4C77E" w14:textId="77777777" w:rsidR="00914EEE" w:rsidRDefault="00914EEE" w:rsidP="0021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72AB8"/>
    <w:multiLevelType w:val="hybridMultilevel"/>
    <w:tmpl w:val="54F4A67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C7581"/>
    <w:multiLevelType w:val="hybridMultilevel"/>
    <w:tmpl w:val="3086FE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E7E18"/>
    <w:multiLevelType w:val="hybridMultilevel"/>
    <w:tmpl w:val="734A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F33F5"/>
    <w:rsid w:val="000B55C6"/>
    <w:rsid w:val="0011008B"/>
    <w:rsid w:val="0013597D"/>
    <w:rsid w:val="001C3B52"/>
    <w:rsid w:val="001C5156"/>
    <w:rsid w:val="001E468C"/>
    <w:rsid w:val="00212EBB"/>
    <w:rsid w:val="00230FB0"/>
    <w:rsid w:val="00237E32"/>
    <w:rsid w:val="0024798E"/>
    <w:rsid w:val="00254988"/>
    <w:rsid w:val="00275AF7"/>
    <w:rsid w:val="002C14BF"/>
    <w:rsid w:val="002D1672"/>
    <w:rsid w:val="00314CE0"/>
    <w:rsid w:val="0034119D"/>
    <w:rsid w:val="00352E8C"/>
    <w:rsid w:val="00360CE2"/>
    <w:rsid w:val="00362F0D"/>
    <w:rsid w:val="00383E15"/>
    <w:rsid w:val="003902C6"/>
    <w:rsid w:val="003A5F7C"/>
    <w:rsid w:val="003A6830"/>
    <w:rsid w:val="003A6F44"/>
    <w:rsid w:val="003D3EDD"/>
    <w:rsid w:val="00405286"/>
    <w:rsid w:val="004346C0"/>
    <w:rsid w:val="00444CA7"/>
    <w:rsid w:val="0044624C"/>
    <w:rsid w:val="004541E9"/>
    <w:rsid w:val="004A36AE"/>
    <w:rsid w:val="004E5B5E"/>
    <w:rsid w:val="005327E7"/>
    <w:rsid w:val="00536673"/>
    <w:rsid w:val="0053733A"/>
    <w:rsid w:val="0055225B"/>
    <w:rsid w:val="005840CB"/>
    <w:rsid w:val="00596032"/>
    <w:rsid w:val="005979FC"/>
    <w:rsid w:val="005A13B4"/>
    <w:rsid w:val="00626BB5"/>
    <w:rsid w:val="00636924"/>
    <w:rsid w:val="0065582F"/>
    <w:rsid w:val="00681D52"/>
    <w:rsid w:val="006A56C0"/>
    <w:rsid w:val="006C2BE8"/>
    <w:rsid w:val="006C6EF7"/>
    <w:rsid w:val="006E4F54"/>
    <w:rsid w:val="006F13E1"/>
    <w:rsid w:val="00701E34"/>
    <w:rsid w:val="00703959"/>
    <w:rsid w:val="007167CE"/>
    <w:rsid w:val="0073000B"/>
    <w:rsid w:val="00751582"/>
    <w:rsid w:val="00785E93"/>
    <w:rsid w:val="007926BD"/>
    <w:rsid w:val="008012AD"/>
    <w:rsid w:val="00843CB2"/>
    <w:rsid w:val="008778A7"/>
    <w:rsid w:val="00894FFA"/>
    <w:rsid w:val="00914EEE"/>
    <w:rsid w:val="0092474C"/>
    <w:rsid w:val="00934CA6"/>
    <w:rsid w:val="00941527"/>
    <w:rsid w:val="009428A4"/>
    <w:rsid w:val="00982893"/>
    <w:rsid w:val="009A2706"/>
    <w:rsid w:val="009B770C"/>
    <w:rsid w:val="009C4831"/>
    <w:rsid w:val="009F7480"/>
    <w:rsid w:val="00A31E34"/>
    <w:rsid w:val="00A52A73"/>
    <w:rsid w:val="00A5394C"/>
    <w:rsid w:val="00A84429"/>
    <w:rsid w:val="00AB1138"/>
    <w:rsid w:val="00AD6026"/>
    <w:rsid w:val="00AF2AF7"/>
    <w:rsid w:val="00B2493B"/>
    <w:rsid w:val="00B32545"/>
    <w:rsid w:val="00B375B7"/>
    <w:rsid w:val="00B6716D"/>
    <w:rsid w:val="00B70AFB"/>
    <w:rsid w:val="00B96219"/>
    <w:rsid w:val="00BA4E0C"/>
    <w:rsid w:val="00BB120C"/>
    <w:rsid w:val="00BC56DF"/>
    <w:rsid w:val="00BD58BA"/>
    <w:rsid w:val="00BE362E"/>
    <w:rsid w:val="00BF33F5"/>
    <w:rsid w:val="00C35622"/>
    <w:rsid w:val="00C444A1"/>
    <w:rsid w:val="00C669F4"/>
    <w:rsid w:val="00CA069B"/>
    <w:rsid w:val="00CA5D38"/>
    <w:rsid w:val="00CC3C02"/>
    <w:rsid w:val="00CD6AFD"/>
    <w:rsid w:val="00D3647C"/>
    <w:rsid w:val="00D41A73"/>
    <w:rsid w:val="00D57AAD"/>
    <w:rsid w:val="00D64C47"/>
    <w:rsid w:val="00D76038"/>
    <w:rsid w:val="00D857A0"/>
    <w:rsid w:val="00DB10F7"/>
    <w:rsid w:val="00DC432E"/>
    <w:rsid w:val="00DE2F3D"/>
    <w:rsid w:val="00DF7C32"/>
    <w:rsid w:val="00E004C9"/>
    <w:rsid w:val="00E16F3B"/>
    <w:rsid w:val="00E22AAA"/>
    <w:rsid w:val="00E513D3"/>
    <w:rsid w:val="00E65F1F"/>
    <w:rsid w:val="00E82050"/>
    <w:rsid w:val="00E845BE"/>
    <w:rsid w:val="00E92FC5"/>
    <w:rsid w:val="00EB3046"/>
    <w:rsid w:val="00EE5CDC"/>
    <w:rsid w:val="00F40420"/>
    <w:rsid w:val="00F542C8"/>
    <w:rsid w:val="00F61FE1"/>
    <w:rsid w:val="00F74CB9"/>
    <w:rsid w:val="00F77DCC"/>
    <w:rsid w:val="00FA01A0"/>
    <w:rsid w:val="00FA0F39"/>
    <w:rsid w:val="00FA7B28"/>
    <w:rsid w:val="00FB4936"/>
    <w:rsid w:val="00FD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6725"/>
  <w15:docId w15:val="{C143B7F3-54F5-434F-89AB-BC78DFAA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E0C"/>
    <w:pPr>
      <w:spacing w:after="200" w:line="276" w:lineRule="auto"/>
    </w:pPr>
    <w:rPr>
      <w:rFonts w:ascii="Calibri" w:eastAsia="Calibri" w:hAnsi="Calibri" w:cs="Times New Roman"/>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E0C"/>
    <w:pPr>
      <w:ind w:left="720"/>
      <w:contextualSpacing/>
    </w:pPr>
  </w:style>
  <w:style w:type="paragraph" w:styleId="a4">
    <w:name w:val="Balloon Text"/>
    <w:basedOn w:val="a"/>
    <w:link w:val="a5"/>
    <w:uiPriority w:val="99"/>
    <w:semiHidden/>
    <w:unhideWhenUsed/>
    <w:rsid w:val="00CC3C02"/>
    <w:pPr>
      <w:spacing w:after="0" w:line="240" w:lineRule="auto"/>
    </w:pPr>
    <w:rPr>
      <w:rFonts w:ascii="Times New Roman" w:hAnsi="Times New Roman"/>
      <w:sz w:val="18"/>
      <w:szCs w:val="18"/>
    </w:rPr>
  </w:style>
  <w:style w:type="character" w:customStyle="1" w:styleId="a5">
    <w:name w:val="批注框文本 字符"/>
    <w:basedOn w:val="a0"/>
    <w:link w:val="a4"/>
    <w:uiPriority w:val="99"/>
    <w:semiHidden/>
    <w:rsid w:val="00CC3C02"/>
    <w:rPr>
      <w:rFonts w:ascii="Times New Roman" w:eastAsia="Calibri" w:hAnsi="Times New Roman" w:cs="Times New Roman"/>
      <w:sz w:val="18"/>
      <w:szCs w:val="18"/>
      <w:lang w:val="en-GB"/>
    </w:rPr>
  </w:style>
  <w:style w:type="character" w:styleId="a6">
    <w:name w:val="Emphasis"/>
    <w:basedOn w:val="a0"/>
    <w:uiPriority w:val="20"/>
    <w:qFormat/>
    <w:rsid w:val="009428A4"/>
    <w:rPr>
      <w:i/>
      <w:iCs/>
    </w:rPr>
  </w:style>
  <w:style w:type="paragraph" w:styleId="a7">
    <w:name w:val="header"/>
    <w:basedOn w:val="a"/>
    <w:link w:val="a8"/>
    <w:uiPriority w:val="99"/>
    <w:unhideWhenUsed/>
    <w:rsid w:val="00212E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212EBB"/>
    <w:rPr>
      <w:rFonts w:ascii="Calibri" w:eastAsia="Calibri" w:hAnsi="Calibri" w:cs="Times New Roman"/>
      <w:sz w:val="18"/>
      <w:szCs w:val="18"/>
      <w:lang w:val="en-GB"/>
    </w:rPr>
  </w:style>
  <w:style w:type="paragraph" w:styleId="a9">
    <w:name w:val="footer"/>
    <w:basedOn w:val="a"/>
    <w:link w:val="aa"/>
    <w:uiPriority w:val="99"/>
    <w:unhideWhenUsed/>
    <w:rsid w:val="00212EBB"/>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212EBB"/>
    <w:rPr>
      <w:rFonts w:ascii="Calibri" w:eastAsia="Calibri" w:hAnsi="Calibri"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dc:creator>
  <cp:lastModifiedBy>王 雅琪</cp:lastModifiedBy>
  <cp:revision>5</cp:revision>
  <dcterms:created xsi:type="dcterms:W3CDTF">2021-07-02T17:05:00Z</dcterms:created>
  <dcterms:modified xsi:type="dcterms:W3CDTF">2021-07-08T16:24:00Z</dcterms:modified>
</cp:coreProperties>
</file>