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31C2" w14:textId="70DDA8EC" w:rsidR="008F78E4" w:rsidRPr="001647CD" w:rsidRDefault="001F4DBF" w:rsidP="00164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S5 Table.</w:t>
      </w:r>
      <w:r w:rsidR="0071446E" w:rsidRPr="0071446E">
        <w:rPr>
          <w:rFonts w:ascii="Arial" w:hAnsi="Arial" w:cs="Arial"/>
          <w:sz w:val="24"/>
          <w:szCs w:val="24"/>
        </w:rPr>
        <w:t xml:space="preserve"> </w:t>
      </w:r>
      <w:r w:rsidR="0071446E" w:rsidRPr="009B41E6">
        <w:rPr>
          <w:rFonts w:ascii="Arial" w:hAnsi="Arial" w:cs="Arial"/>
          <w:sz w:val="24"/>
          <w:szCs w:val="24"/>
        </w:rPr>
        <w:t xml:space="preserve">Sensitivity analysis: </w:t>
      </w:r>
      <w:r w:rsidR="00D834AE">
        <w:rPr>
          <w:rFonts w:ascii="Arial" w:hAnsi="Arial" w:cs="Arial"/>
          <w:sz w:val="24"/>
          <w:szCs w:val="24"/>
        </w:rPr>
        <w:t>Risk factors analysis</w:t>
      </w:r>
      <w:r w:rsidR="0071446E" w:rsidRPr="009B41E6">
        <w:rPr>
          <w:rFonts w:ascii="Arial" w:hAnsi="Arial" w:cs="Arial"/>
          <w:sz w:val="24"/>
          <w:szCs w:val="24"/>
        </w:rPr>
        <w:t xml:space="preserve"> of possible</w:t>
      </w:r>
      <w:r>
        <w:rPr>
          <w:rFonts w:ascii="Arial" w:hAnsi="Arial" w:cs="Arial"/>
          <w:sz w:val="24"/>
          <w:szCs w:val="24"/>
        </w:rPr>
        <w:t xml:space="preserve"> severe bacterial infection in Senegal</w:t>
      </w:r>
      <w:r w:rsidR="0071446E" w:rsidRPr="009B41E6">
        <w:rPr>
          <w:rFonts w:ascii="Arial" w:hAnsi="Arial" w:cs="Arial"/>
          <w:sz w:val="24"/>
          <w:szCs w:val="24"/>
        </w:rPr>
        <w:t xml:space="preserve"> </w:t>
      </w:r>
    </w:p>
    <w:p w14:paraId="0C296F53" w14:textId="77777777" w:rsidR="00437A1C" w:rsidRPr="008F78E4" w:rsidRDefault="00437A1C" w:rsidP="00437A1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1936"/>
        <w:tblW w:w="11624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850"/>
        <w:gridCol w:w="1418"/>
        <w:gridCol w:w="708"/>
        <w:gridCol w:w="1124"/>
        <w:gridCol w:w="1281"/>
        <w:gridCol w:w="1281"/>
        <w:gridCol w:w="1134"/>
      </w:tblGrid>
      <w:tr w:rsidR="00563D87" w:rsidRPr="00B10381" w14:paraId="75DD2011" w14:textId="77777777" w:rsidTr="00563D87">
        <w:trPr>
          <w:trHeight w:val="648"/>
        </w:trPr>
        <w:tc>
          <w:tcPr>
            <w:tcW w:w="2411" w:type="dxa"/>
            <w:tcBorders>
              <w:left w:val="nil"/>
              <w:bottom w:val="single" w:sz="4" w:space="0" w:color="auto"/>
              <w:right w:val="nil"/>
            </w:tcBorders>
          </w:tcPr>
          <w:p w14:paraId="7FD7AAA9" w14:textId="77777777" w:rsidR="00563D87" w:rsidRPr="00B10381" w:rsidRDefault="00563D87" w:rsidP="00563D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FBB039E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Worst case scenario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4868DC2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8F8F84A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5259D3D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5B200E2E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Best case scenario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</w:tcPr>
          <w:p w14:paraId="77CCF451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</w:tcPr>
          <w:p w14:paraId="0CC5C010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965EA60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676C76E8" w14:textId="77777777" w:rsidTr="00563D87">
        <w:trPr>
          <w:trHeight w:val="648"/>
        </w:trPr>
        <w:tc>
          <w:tcPr>
            <w:tcW w:w="2411" w:type="dxa"/>
            <w:tcBorders>
              <w:left w:val="nil"/>
              <w:bottom w:val="single" w:sz="4" w:space="0" w:color="auto"/>
              <w:right w:val="nil"/>
            </w:tcBorders>
          </w:tcPr>
          <w:p w14:paraId="3F24190C" w14:textId="77777777" w:rsidR="00563D87" w:rsidRPr="00B10381" w:rsidRDefault="00563D87" w:rsidP="00563D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6E1B859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OR</w:t>
            </w:r>
          </w:p>
          <w:p w14:paraId="7C6A2A1C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[95% CI]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FDE7713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48AD3F7" w14:textId="236C2C69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 xml:space="preserve">Adjusted </w:t>
            </w:r>
            <w:proofErr w:type="spellStart"/>
            <w:r w:rsidRPr="007B62D9">
              <w:rPr>
                <w:rFonts w:cs="Arial"/>
                <w:sz w:val="18"/>
                <w:szCs w:val="18"/>
              </w:rPr>
              <w:t>OR</w:t>
            </w:r>
            <w:r w:rsidR="005D7A64" w:rsidRPr="005D7A64">
              <w:rPr>
                <w:rFonts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B62D9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7B62D9">
              <w:rPr>
                <w:rFonts w:cs="Arial"/>
                <w:sz w:val="18"/>
                <w:szCs w:val="18"/>
              </w:rPr>
              <w:t>aOR</w:t>
            </w:r>
            <w:proofErr w:type="spellEnd"/>
            <w:r w:rsidRPr="007B62D9">
              <w:rPr>
                <w:rFonts w:cs="Arial"/>
                <w:sz w:val="18"/>
                <w:szCs w:val="18"/>
              </w:rPr>
              <w:t>)</w:t>
            </w:r>
          </w:p>
          <w:p w14:paraId="3CF2902F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[95% CI]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409232A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14:paraId="43AE8A8F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OR</w:t>
            </w:r>
          </w:p>
          <w:p w14:paraId="1A0671E2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[95% CI]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</w:tcPr>
          <w:p w14:paraId="044BAE17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</w:tcPr>
          <w:p w14:paraId="66626AAA" w14:textId="07F0731E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7B62D9">
              <w:rPr>
                <w:rFonts w:cs="Arial"/>
                <w:sz w:val="18"/>
                <w:szCs w:val="18"/>
              </w:rPr>
              <w:t>aOR</w:t>
            </w:r>
            <w:r w:rsidR="005D7A64" w:rsidRPr="005D7A64">
              <w:rPr>
                <w:rFonts w:cs="Arial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68A2F271" w14:textId="77777777" w:rsidR="00563D87" w:rsidRPr="007B62D9" w:rsidRDefault="00563D87" w:rsidP="00563D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[95% CI]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E3BCE7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p</w:t>
            </w:r>
          </w:p>
        </w:tc>
      </w:tr>
      <w:tr w:rsidR="00563D87" w:rsidRPr="00B10381" w14:paraId="3E2DED9E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1A8DA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Site (urban site as 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B924AB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0.62</w:t>
            </w:r>
          </w:p>
          <w:p w14:paraId="39C0AEA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[0.33-1.18]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F82FA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92C9D0" w14:textId="3E2D6B44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54FB6A" w14:textId="72E10944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3DFCF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0.62</w:t>
            </w:r>
          </w:p>
          <w:p w14:paraId="2B1E089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[0.33-1.18]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D3F2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ABDBDC" w14:textId="74F6C2E8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E5EF7" w14:textId="3957B63B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36962E9F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18F9C" w14:textId="77777777" w:rsidR="00563D87" w:rsidRPr="0002141F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02141F"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EF28A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B920C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7E8EC8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85FE1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C327AF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64275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07333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02632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7B126804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75750" w14:textId="77777777" w:rsidR="00563D87" w:rsidRPr="0002141F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02141F">
              <w:rPr>
                <w:sz w:val="18"/>
                <w:szCs w:val="18"/>
              </w:rPr>
              <w:t>Absence/</w:t>
            </w:r>
          </w:p>
          <w:p w14:paraId="752D71D3" w14:textId="77777777" w:rsidR="00563D87" w:rsidRPr="0002141F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02141F">
              <w:rPr>
                <w:sz w:val="18"/>
                <w:szCs w:val="18"/>
              </w:rPr>
              <w:t>primary school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49CB8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D1C6D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87CDB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4AAFC1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562EA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Reference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F0A91D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948BFB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CB2334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37956CCC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2D5166" w14:textId="77777777" w:rsidR="00563D87" w:rsidRPr="0002141F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02141F">
              <w:rPr>
                <w:sz w:val="18"/>
                <w:szCs w:val="18"/>
              </w:rPr>
              <w:t>Partial secondary school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9877EB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0.97</w:t>
            </w:r>
          </w:p>
          <w:p w14:paraId="113D3F40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[0.43-2.2]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B03BA9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EDB231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D9B594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17B5F3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0.97</w:t>
            </w:r>
          </w:p>
          <w:p w14:paraId="6CABF42E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[0.43-2.2]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C37ECD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2141F">
              <w:rPr>
                <w:rFonts w:cs="Arial"/>
                <w:sz w:val="18"/>
                <w:szCs w:val="18"/>
              </w:rPr>
              <w:t>0.9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43C24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E3F75D" w14:textId="77777777" w:rsidR="00563D87" w:rsidRPr="0002141F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7DD0B2CA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7BA8EB" w14:textId="77777777" w:rsidR="00563D87" w:rsidRPr="007B62D9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7B62D9">
              <w:rPr>
                <w:sz w:val="18"/>
                <w:szCs w:val="18"/>
              </w:rPr>
              <w:t>Complete secondary or higher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C454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</w:t>
            </w:r>
            <w:r w:rsidRPr="007B62D9">
              <w:rPr>
                <w:rFonts w:cs="Arial"/>
                <w:sz w:val="18"/>
                <w:szCs w:val="18"/>
              </w:rPr>
              <w:t xml:space="preserve"> </w:t>
            </w:r>
          </w:p>
          <w:p w14:paraId="72CA325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[0.68-3.87]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F94DE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2F6AB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1DE4B9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C327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</w:t>
            </w:r>
            <w:r w:rsidRPr="007B62D9">
              <w:rPr>
                <w:rFonts w:cs="Arial"/>
                <w:sz w:val="18"/>
                <w:szCs w:val="18"/>
              </w:rPr>
              <w:t xml:space="preserve"> </w:t>
            </w:r>
          </w:p>
          <w:p w14:paraId="158823D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[0.68-3.87]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D2F20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9CB07F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2BAE7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61F3D419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7EBFD" w14:textId="77777777" w:rsidR="00563D87" w:rsidRPr="007B62D9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Primigravidae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D5257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</w:t>
            </w:r>
          </w:p>
          <w:p w14:paraId="7F0A6CC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[0.58-2.25]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FB79B0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7830B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F21699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9F34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</w:t>
            </w:r>
            <w:r w:rsidRPr="007B62D9">
              <w:rPr>
                <w:rFonts w:cs="Arial"/>
                <w:sz w:val="18"/>
                <w:szCs w:val="18"/>
              </w:rPr>
              <w:t xml:space="preserve"> </w:t>
            </w:r>
          </w:p>
          <w:p w14:paraId="43D6C2D5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[0.58-2.25]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D4FA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E49CB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5C1DE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4EEA567C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1CB13A" w14:textId="77777777" w:rsidR="00563D87" w:rsidRPr="007B62D9" w:rsidRDefault="00563D87" w:rsidP="00563D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Twins pregnancy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7D85D" w14:textId="05783137" w:rsidR="00563D87" w:rsidRPr="005D7A64" w:rsidRDefault="005D7A64" w:rsidP="005D7A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5D7A64">
              <w:rPr>
                <w:rFonts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4168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1932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7735E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1D781" w14:textId="1A10AC1A" w:rsidR="00563D87" w:rsidRPr="005D7A64" w:rsidRDefault="005D7A64" w:rsidP="005D7A64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5D7A64">
              <w:rPr>
                <w:rFonts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5618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1B670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BB84E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46D508DE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4BE33" w14:textId="77777777" w:rsidR="00563D87" w:rsidRPr="007B62D9" w:rsidRDefault="00563D87" w:rsidP="00563D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Hospitalization during pregnancy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015443" w14:textId="77777777" w:rsidR="00563D87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0.73 </w:t>
            </w:r>
          </w:p>
          <w:p w14:paraId="020A6ED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[0.1-5.28</w:t>
            </w:r>
            <w:r w:rsidRPr="007B62D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4B52DF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B71F4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372D8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DB3664" w14:textId="77777777" w:rsidR="00563D87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0.73 </w:t>
            </w:r>
          </w:p>
          <w:p w14:paraId="4CC26EB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[0.1-5.28</w:t>
            </w:r>
            <w:r w:rsidRPr="007B62D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1D90BC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464F9E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6939A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4B15B3D3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C200A4" w14:textId="77777777" w:rsidR="00563D87" w:rsidRPr="007B62D9" w:rsidRDefault="00563D87" w:rsidP="00563D87">
            <w:pPr>
              <w:spacing w:after="0" w:line="240" w:lineRule="auto"/>
              <w:rPr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Skilled birth attendant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F852C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 w:rsidRPr="00DF3D20">
              <w:rPr>
                <w:sz w:val="20"/>
                <w:szCs w:val="20"/>
              </w:rPr>
              <w:t xml:space="preserve"> </w:t>
            </w:r>
          </w:p>
          <w:p w14:paraId="38C4AA8C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[0.1-4.9</w:t>
            </w:r>
            <w:r w:rsidRPr="00DF3D20"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CF9439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646F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8D6019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AC8E46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 w:rsidRPr="00DF3D20">
              <w:rPr>
                <w:sz w:val="20"/>
                <w:szCs w:val="20"/>
              </w:rPr>
              <w:t xml:space="preserve"> </w:t>
            </w:r>
          </w:p>
          <w:p w14:paraId="35DB028D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[0.1-4.9</w:t>
            </w:r>
            <w:r w:rsidRPr="00DF3D20">
              <w:rPr>
                <w:sz w:val="20"/>
                <w:szCs w:val="20"/>
              </w:rPr>
              <w:t>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D9D03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D41FF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59BF8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5E8D5BC1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0835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Sex of newborn (boys as reference)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A6FD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</w:t>
            </w:r>
            <w:r w:rsidRPr="007B62D9">
              <w:rPr>
                <w:rFonts w:cs="Arial"/>
                <w:sz w:val="18"/>
                <w:szCs w:val="18"/>
              </w:rPr>
              <w:t xml:space="preserve"> </w:t>
            </w:r>
          </w:p>
          <w:p w14:paraId="4901C53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[0.5-1.6</w:t>
            </w:r>
            <w:r w:rsidRPr="007B62D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F8236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95D8E1" w14:textId="0C9E8B6E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E236D" w14:textId="6F78E964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91F7D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</w:t>
            </w:r>
            <w:r w:rsidRPr="007B62D9">
              <w:rPr>
                <w:rFonts w:cs="Arial"/>
                <w:sz w:val="18"/>
                <w:szCs w:val="18"/>
              </w:rPr>
              <w:t xml:space="preserve"> </w:t>
            </w:r>
          </w:p>
          <w:p w14:paraId="07DD0A5C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[0.5-1.6</w:t>
            </w:r>
            <w:r w:rsidRPr="007B62D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E3219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788185" w14:textId="527BB8F3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DCD64" w14:textId="39A03771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3C220DC8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005E090" w14:textId="77777777" w:rsidR="00563D87" w:rsidRPr="007B62D9" w:rsidRDefault="00563D87" w:rsidP="00563D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Delivery in health care facilities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84F245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  <w:p w14:paraId="034F0195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[0.1-4.9</w:t>
            </w:r>
            <w:r w:rsidRPr="00DF3D20"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FC73AB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EE25F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34349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BD25FAA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  <w:p w14:paraId="50AD02A7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[0.1-4.9</w:t>
            </w:r>
            <w:r w:rsidRPr="00DF3D20">
              <w:rPr>
                <w:sz w:val="20"/>
                <w:szCs w:val="20"/>
              </w:rPr>
              <w:t>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84BB14A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ADD179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E95B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6AC636A7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77810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B62D9">
              <w:rPr>
                <w:rFonts w:cs="Arial"/>
                <w:b/>
                <w:sz w:val="18"/>
                <w:szCs w:val="18"/>
              </w:rPr>
              <w:t>Low birth weight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9CEAEA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 w:rsidRPr="00DF3D20">
              <w:rPr>
                <w:sz w:val="20"/>
                <w:szCs w:val="20"/>
              </w:rPr>
              <w:t xml:space="preserve">2.49 </w:t>
            </w:r>
          </w:p>
          <w:p w14:paraId="7EECEDE5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 w:rsidRPr="00DF3D20">
              <w:rPr>
                <w:sz w:val="20"/>
                <w:szCs w:val="20"/>
              </w:rPr>
              <w:t>[1.15-5.37]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6F5C28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F4F0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1.5</w:t>
            </w:r>
          </w:p>
          <w:p w14:paraId="62F6EFD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[0.7-3]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5B1AF0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0.29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25463F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 w:rsidRPr="00DF3D20">
              <w:rPr>
                <w:sz w:val="20"/>
                <w:szCs w:val="20"/>
              </w:rPr>
              <w:t xml:space="preserve">2.49 </w:t>
            </w:r>
          </w:p>
          <w:p w14:paraId="1104CFA8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 w:rsidRPr="00DF3D20">
              <w:rPr>
                <w:sz w:val="20"/>
                <w:szCs w:val="20"/>
              </w:rPr>
              <w:t>[1.15-5.37]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9F21AC" w14:textId="77777777" w:rsidR="00563D87" w:rsidRPr="00DF3D20" w:rsidRDefault="00563D87" w:rsidP="00563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B7B7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 xml:space="preserve">2.6 </w:t>
            </w:r>
          </w:p>
          <w:p w14:paraId="461C054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[1.2-5.5]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036F00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0.016</w:t>
            </w:r>
          </w:p>
        </w:tc>
      </w:tr>
      <w:tr w:rsidR="00563D87" w:rsidRPr="00B10381" w14:paraId="0BD1D09E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2B94D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7B62D9">
              <w:rPr>
                <w:b/>
                <w:sz w:val="18"/>
                <w:szCs w:val="18"/>
              </w:rPr>
              <w:t>Cesarean -section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9AC70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7B62D9">
              <w:rPr>
                <w:rFonts w:cs="Arial"/>
                <w:sz w:val="18"/>
                <w:szCs w:val="18"/>
              </w:rPr>
              <w:t xml:space="preserve">.64 </w:t>
            </w:r>
          </w:p>
          <w:p w14:paraId="7858FE3B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[0.09-4.63]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1E0A75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3E91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9124B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3A5DC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7B62D9">
              <w:rPr>
                <w:rFonts w:cs="Arial"/>
                <w:sz w:val="18"/>
                <w:szCs w:val="18"/>
              </w:rPr>
              <w:t xml:space="preserve">.64 </w:t>
            </w:r>
          </w:p>
          <w:p w14:paraId="602C078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[0.09-4.63]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9083B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0.66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2D788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75BC9E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3D87" w:rsidRPr="00B10381" w14:paraId="643739E7" w14:textId="77777777" w:rsidTr="00563D8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B3D015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b/>
                <w:sz w:val="18"/>
                <w:szCs w:val="18"/>
              </w:rPr>
              <w:t>Fetid amniotic fluid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9F69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2.7</w:t>
            </w:r>
          </w:p>
          <w:p w14:paraId="02260CB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[1.5-4.8]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C1DC9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382AC2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2.4</w:t>
            </w:r>
          </w:p>
          <w:p w14:paraId="55CD0ACA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[1.3-4.5]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23CC6D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666361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3.4</w:t>
            </w:r>
          </w:p>
          <w:p w14:paraId="6A359E37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[1.9-6.3]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60394F9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&lt;0.001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276EAFF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3.9</w:t>
            </w:r>
          </w:p>
          <w:p w14:paraId="572230F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 xml:space="preserve"> [2.1-7.1]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D8F81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&lt;0.001</w:t>
            </w:r>
          </w:p>
        </w:tc>
      </w:tr>
      <w:tr w:rsidR="00563D87" w:rsidRPr="00B10381" w14:paraId="2DFC7610" w14:textId="77777777" w:rsidTr="00563D87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53E4B" w14:textId="77777777" w:rsidR="00563D87" w:rsidRPr="007B62D9" w:rsidRDefault="00563D87" w:rsidP="00563D8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B62D9">
              <w:rPr>
                <w:b/>
                <w:sz w:val="18"/>
                <w:szCs w:val="18"/>
              </w:rPr>
              <w:t>Dystocic</w:t>
            </w:r>
            <w:proofErr w:type="spellEnd"/>
            <w:r w:rsidRPr="007B62D9">
              <w:rPr>
                <w:b/>
                <w:sz w:val="18"/>
                <w:szCs w:val="18"/>
              </w:rPr>
              <w:t xml:space="preserve"> delivery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81E4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 xml:space="preserve">1.25 </w:t>
            </w:r>
          </w:p>
          <w:p w14:paraId="3E3AB59C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[0.6-2.59]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5FAD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B62D9">
              <w:rPr>
                <w:rFonts w:cs="Arial"/>
                <w:sz w:val="18"/>
                <w:szCs w:val="18"/>
              </w:rPr>
              <w:t>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C36E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04C9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68B34" w14:textId="77777777" w:rsidR="00563D87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</w:t>
            </w:r>
          </w:p>
          <w:p w14:paraId="28373138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[0.67-11.4]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7F766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AFDE3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D4A5" w14:textId="77777777" w:rsidR="00563D87" w:rsidRPr="007B62D9" w:rsidRDefault="00563D87" w:rsidP="00563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7B3AB52" w14:textId="4D9FA807" w:rsidR="005D7A64" w:rsidRPr="005D7A64" w:rsidRDefault="005D7A64" w:rsidP="00EE7E78">
      <w:pPr>
        <w:spacing w:after="0" w:line="240" w:lineRule="auto"/>
      </w:pPr>
      <w:proofErr w:type="spellStart"/>
      <w:proofErr w:type="gramStart"/>
      <w:r>
        <w:rPr>
          <w:sz w:val="18"/>
          <w:szCs w:val="18"/>
          <w:vertAlign w:val="superscript"/>
        </w:rPr>
        <w:t>a</w:t>
      </w:r>
      <w:proofErr w:type="spellEnd"/>
      <w:proofErr w:type="gramEnd"/>
      <w:r>
        <w:rPr>
          <w:sz w:val="18"/>
          <w:szCs w:val="18"/>
          <w:vertAlign w:val="superscript"/>
        </w:rPr>
        <w:t xml:space="preserve"> </w:t>
      </w:r>
      <w:r w:rsidRPr="00BC34BF">
        <w:rPr>
          <w:sz w:val="20"/>
          <w:szCs w:val="20"/>
        </w:rPr>
        <w:t>Adjusted on site (</w:t>
      </w:r>
      <w:proofErr w:type="spellStart"/>
      <w:r w:rsidRPr="00BC34BF">
        <w:rPr>
          <w:sz w:val="20"/>
          <w:szCs w:val="20"/>
        </w:rPr>
        <w:t>aHR</w:t>
      </w:r>
      <w:proofErr w:type="spellEnd"/>
      <w:r w:rsidRPr="00BC34BF">
        <w:rPr>
          <w:sz w:val="20"/>
          <w:szCs w:val="20"/>
        </w:rPr>
        <w:t>=</w:t>
      </w:r>
      <w:r>
        <w:rPr>
          <w:sz w:val="20"/>
          <w:szCs w:val="20"/>
        </w:rPr>
        <w:t>0.7</w:t>
      </w:r>
      <w:r w:rsidRPr="00BC34BF">
        <w:rPr>
          <w:sz w:val="20"/>
          <w:szCs w:val="20"/>
        </w:rPr>
        <w:t xml:space="preserve"> [</w:t>
      </w:r>
      <w:r>
        <w:rPr>
          <w:rFonts w:asciiTheme="majorHAnsi" w:hAnsiTheme="majorHAnsi" w:cstheme="majorHAnsi"/>
          <w:sz w:val="20"/>
          <w:szCs w:val="20"/>
        </w:rPr>
        <w:t>0.35-1.3</w:t>
      </w:r>
      <w:r w:rsidRPr="00BC34BF">
        <w:rPr>
          <w:rFonts w:asciiTheme="majorHAnsi" w:hAnsiTheme="majorHAnsi" w:cstheme="majorHAnsi"/>
          <w:sz w:val="20"/>
          <w:szCs w:val="20"/>
        </w:rPr>
        <w:t>]</w:t>
      </w:r>
      <w:r>
        <w:rPr>
          <w:rFonts w:asciiTheme="majorHAnsi" w:hAnsiTheme="majorHAnsi" w:cstheme="majorHAnsi"/>
          <w:sz w:val="20"/>
          <w:szCs w:val="20"/>
        </w:rPr>
        <w:t>, p=0.24</w:t>
      </w:r>
      <w:r w:rsidRPr="00BC34BF">
        <w:rPr>
          <w:rFonts w:asciiTheme="majorHAnsi" w:hAnsiTheme="majorHAnsi" w:cstheme="majorHAnsi"/>
          <w:sz w:val="20"/>
          <w:szCs w:val="20"/>
        </w:rPr>
        <w:t xml:space="preserve">) </w:t>
      </w:r>
      <w:r w:rsidRPr="00BC34BF">
        <w:rPr>
          <w:sz w:val="20"/>
          <w:szCs w:val="20"/>
        </w:rPr>
        <w:t>and sex of the newborn (</w:t>
      </w:r>
      <w:proofErr w:type="spellStart"/>
      <w:r w:rsidRPr="00BC34BF">
        <w:rPr>
          <w:sz w:val="20"/>
          <w:szCs w:val="20"/>
        </w:rPr>
        <w:t>aHR</w:t>
      </w:r>
      <w:proofErr w:type="spellEnd"/>
      <w:r w:rsidRPr="00BC34BF">
        <w:rPr>
          <w:sz w:val="20"/>
          <w:szCs w:val="20"/>
        </w:rPr>
        <w:t>=</w:t>
      </w:r>
      <w:r>
        <w:rPr>
          <w:rFonts w:asciiTheme="majorHAnsi" w:hAnsiTheme="majorHAnsi" w:cstheme="majorHAnsi"/>
          <w:sz w:val="20"/>
          <w:szCs w:val="20"/>
        </w:rPr>
        <w:t>0.93[0.52-1.68</w:t>
      </w:r>
      <w:r w:rsidRPr="00BC34BF">
        <w:rPr>
          <w:rFonts w:asciiTheme="majorHAnsi" w:hAnsiTheme="majorHAnsi" w:cstheme="majorHAnsi"/>
          <w:sz w:val="20"/>
          <w:szCs w:val="20"/>
        </w:rPr>
        <w:t xml:space="preserve">], </w:t>
      </w:r>
      <w:r>
        <w:rPr>
          <w:rFonts w:asciiTheme="majorHAnsi" w:hAnsiTheme="majorHAnsi" w:cstheme="majorHAnsi"/>
          <w:sz w:val="20"/>
          <w:szCs w:val="20"/>
        </w:rPr>
        <w:t>p=0.82</w:t>
      </w:r>
      <w:r w:rsidRPr="00BC34BF">
        <w:rPr>
          <w:rFonts w:asciiTheme="majorHAnsi" w:hAnsiTheme="majorHAnsi" w:cstheme="majorHAnsi"/>
          <w:sz w:val="20"/>
          <w:szCs w:val="20"/>
        </w:rPr>
        <w:t>)</w:t>
      </w:r>
    </w:p>
    <w:p w14:paraId="0CA72E53" w14:textId="0C494B79" w:rsidR="005D7A64" w:rsidRDefault="005D7A64" w:rsidP="00EE7E78">
      <w:pPr>
        <w:spacing w:after="0"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b </w:t>
      </w:r>
      <w:r w:rsidRPr="00BC34BF">
        <w:rPr>
          <w:sz w:val="20"/>
          <w:szCs w:val="20"/>
        </w:rPr>
        <w:t>Adjusted on site (</w:t>
      </w:r>
      <w:proofErr w:type="spellStart"/>
      <w:r w:rsidRPr="00BC34BF">
        <w:rPr>
          <w:sz w:val="20"/>
          <w:szCs w:val="20"/>
        </w:rPr>
        <w:t>aHR</w:t>
      </w:r>
      <w:proofErr w:type="spellEnd"/>
      <w:r w:rsidRPr="00BC34BF">
        <w:rPr>
          <w:sz w:val="20"/>
          <w:szCs w:val="20"/>
        </w:rPr>
        <w:t>=</w:t>
      </w:r>
      <w:r>
        <w:rPr>
          <w:sz w:val="20"/>
          <w:szCs w:val="20"/>
        </w:rPr>
        <w:t>0.5</w:t>
      </w:r>
      <w:r w:rsidRPr="00BC34BF">
        <w:rPr>
          <w:sz w:val="20"/>
          <w:szCs w:val="20"/>
        </w:rPr>
        <w:t>[</w:t>
      </w:r>
      <w:r>
        <w:rPr>
          <w:rFonts w:asciiTheme="majorHAnsi" w:hAnsiTheme="majorHAnsi" w:cstheme="majorHAnsi"/>
          <w:sz w:val="20"/>
          <w:szCs w:val="20"/>
        </w:rPr>
        <w:t>0.26-0.97</w:t>
      </w:r>
      <w:r w:rsidRPr="00BC34BF">
        <w:rPr>
          <w:rFonts w:asciiTheme="majorHAnsi" w:hAnsiTheme="majorHAnsi" w:cstheme="majorHAnsi"/>
          <w:sz w:val="20"/>
          <w:szCs w:val="20"/>
        </w:rPr>
        <w:t>]</w:t>
      </w:r>
      <w:r>
        <w:rPr>
          <w:rFonts w:asciiTheme="majorHAnsi" w:hAnsiTheme="majorHAnsi" w:cstheme="majorHAnsi"/>
          <w:sz w:val="20"/>
          <w:szCs w:val="20"/>
        </w:rPr>
        <w:t>, p=0.04</w:t>
      </w:r>
      <w:r w:rsidRPr="00BC34BF">
        <w:rPr>
          <w:rFonts w:asciiTheme="majorHAnsi" w:hAnsiTheme="majorHAnsi" w:cstheme="majorHAnsi"/>
          <w:sz w:val="20"/>
          <w:szCs w:val="20"/>
        </w:rPr>
        <w:t xml:space="preserve">) </w:t>
      </w:r>
      <w:r w:rsidRPr="00BC34BF">
        <w:rPr>
          <w:sz w:val="20"/>
          <w:szCs w:val="20"/>
        </w:rPr>
        <w:t>and sex of the newborn (</w:t>
      </w:r>
      <w:proofErr w:type="spellStart"/>
      <w:r w:rsidRPr="00BC34BF">
        <w:rPr>
          <w:sz w:val="20"/>
          <w:szCs w:val="20"/>
        </w:rPr>
        <w:t>aHR</w:t>
      </w:r>
      <w:proofErr w:type="spellEnd"/>
      <w:r w:rsidRPr="00BC34BF">
        <w:rPr>
          <w:sz w:val="20"/>
          <w:szCs w:val="20"/>
        </w:rPr>
        <w:t>=</w:t>
      </w:r>
      <w:r>
        <w:rPr>
          <w:rFonts w:asciiTheme="majorHAnsi" w:hAnsiTheme="majorHAnsi" w:cstheme="majorHAnsi"/>
          <w:sz w:val="20"/>
          <w:szCs w:val="20"/>
        </w:rPr>
        <w:t>0.98[0.55-1.77</w:t>
      </w:r>
      <w:r w:rsidRPr="00BC34BF">
        <w:rPr>
          <w:rFonts w:asciiTheme="majorHAnsi" w:hAnsiTheme="majorHAnsi" w:cstheme="majorHAnsi"/>
          <w:sz w:val="20"/>
          <w:szCs w:val="20"/>
        </w:rPr>
        <w:t xml:space="preserve">], </w:t>
      </w:r>
      <w:r>
        <w:rPr>
          <w:rFonts w:asciiTheme="majorHAnsi" w:hAnsiTheme="majorHAnsi" w:cstheme="majorHAnsi"/>
          <w:sz w:val="20"/>
          <w:szCs w:val="20"/>
        </w:rPr>
        <w:t>p=0.96</w:t>
      </w:r>
      <w:r w:rsidRPr="00BC34BF">
        <w:rPr>
          <w:rFonts w:asciiTheme="majorHAnsi" w:hAnsiTheme="majorHAnsi" w:cstheme="majorHAnsi"/>
          <w:sz w:val="20"/>
          <w:szCs w:val="20"/>
        </w:rPr>
        <w:t>)</w:t>
      </w:r>
    </w:p>
    <w:p w14:paraId="52FF13C8" w14:textId="5EC86F1B" w:rsidR="00437A1C" w:rsidRDefault="005D7A64" w:rsidP="00EE7E7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sz w:val="18"/>
          <w:szCs w:val="18"/>
          <w:vertAlign w:val="superscript"/>
        </w:rPr>
        <w:t xml:space="preserve">c </w:t>
      </w:r>
      <w:r w:rsidR="00AC388E">
        <w:rPr>
          <w:sz w:val="18"/>
          <w:szCs w:val="18"/>
        </w:rPr>
        <w:t xml:space="preserve">No possible estimation as no cases of </w:t>
      </w:r>
      <w:proofErr w:type="spellStart"/>
      <w:r w:rsidR="00AC388E">
        <w:rPr>
          <w:sz w:val="18"/>
          <w:szCs w:val="18"/>
        </w:rPr>
        <w:t>pSBI</w:t>
      </w:r>
      <w:proofErr w:type="spellEnd"/>
      <w:r w:rsidR="00AC388E">
        <w:rPr>
          <w:sz w:val="18"/>
          <w:szCs w:val="18"/>
        </w:rPr>
        <w:t xml:space="preserve"> occurred among </w:t>
      </w:r>
      <w:proofErr w:type="gramStart"/>
      <w:r w:rsidR="00AC388E">
        <w:rPr>
          <w:sz w:val="18"/>
          <w:szCs w:val="18"/>
        </w:rPr>
        <w:t>twins</w:t>
      </w:r>
      <w:proofErr w:type="gramEnd"/>
    </w:p>
    <w:p w14:paraId="1EA6B860" w14:textId="77777777" w:rsidR="002D4EE7" w:rsidRDefault="002D4EE7" w:rsidP="00EE7E7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7BAC25" w14:textId="0AA49AC9" w:rsidR="0002141F" w:rsidRPr="002502C8" w:rsidRDefault="0002141F" w:rsidP="0002141F">
      <w:pPr>
        <w:rPr>
          <w:rFonts w:ascii="Arial" w:hAnsi="Arial" w:cs="Arial"/>
          <w:color w:val="000000"/>
          <w:sz w:val="20"/>
          <w:szCs w:val="20"/>
        </w:rPr>
      </w:pPr>
      <w:r w:rsidRPr="002502C8">
        <w:rPr>
          <w:rFonts w:ascii="Arial" w:hAnsi="Arial" w:cs="Arial"/>
          <w:color w:val="000000"/>
          <w:sz w:val="20"/>
          <w:szCs w:val="20"/>
        </w:rPr>
        <w:t xml:space="preserve">We investigated if low birth weight and factors related to delivery (foul-smelling amniotic fluid, premature rupture of the membranes, </w:t>
      </w:r>
      <w:proofErr w:type="spellStart"/>
      <w:r w:rsidRPr="002502C8">
        <w:rPr>
          <w:rFonts w:ascii="Arial" w:hAnsi="Arial" w:cs="Arial"/>
          <w:color w:val="000000"/>
          <w:sz w:val="20"/>
          <w:szCs w:val="20"/>
        </w:rPr>
        <w:t>dystocic</w:t>
      </w:r>
      <w:proofErr w:type="spellEnd"/>
      <w:r w:rsidRPr="002502C8">
        <w:rPr>
          <w:rFonts w:ascii="Arial" w:hAnsi="Arial" w:cs="Arial"/>
          <w:color w:val="000000"/>
          <w:sz w:val="20"/>
          <w:szCs w:val="20"/>
        </w:rPr>
        <w:t xml:space="preserve"> delivery, caesarean section) were associated with early </w:t>
      </w:r>
      <w:proofErr w:type="spellStart"/>
      <w:r w:rsidRPr="002502C8">
        <w:rPr>
          <w:rFonts w:ascii="Arial" w:hAnsi="Arial" w:cs="Arial"/>
          <w:color w:val="000000"/>
          <w:sz w:val="20"/>
          <w:szCs w:val="20"/>
        </w:rPr>
        <w:t>pSBI</w:t>
      </w:r>
      <w:proofErr w:type="spellEnd"/>
      <w:r w:rsidRPr="002502C8">
        <w:rPr>
          <w:rFonts w:ascii="Arial" w:hAnsi="Arial" w:cs="Arial"/>
          <w:color w:val="000000"/>
          <w:sz w:val="20"/>
          <w:szCs w:val="20"/>
        </w:rPr>
        <w:t xml:space="preserve"> and considered site, sex of the newborns and maternal and pregnancy characteristics as potential confounding factors.   </w:t>
      </w:r>
    </w:p>
    <w:p w14:paraId="7CFBF0BF" w14:textId="65C2E4BB" w:rsidR="002D4EE7" w:rsidRPr="002502C8" w:rsidRDefault="002D4EE7" w:rsidP="002D4EE7">
      <w:pPr>
        <w:rPr>
          <w:rFonts w:ascii="Arial" w:hAnsi="Arial" w:cs="Arial"/>
          <w:sz w:val="20"/>
          <w:szCs w:val="20"/>
        </w:rPr>
      </w:pPr>
      <w:r w:rsidRPr="002502C8">
        <w:rPr>
          <w:rFonts w:ascii="Arial" w:hAnsi="Arial" w:cs="Arial"/>
          <w:sz w:val="20"/>
          <w:szCs w:val="20"/>
        </w:rPr>
        <w:t xml:space="preserve">For worst scenario, infants were classified as infants born to mothers with foul-smelling amniotic fluid and/or premature rupture of membranes and/or </w:t>
      </w:r>
      <w:proofErr w:type="spellStart"/>
      <w:r w:rsidRPr="002502C8">
        <w:rPr>
          <w:rFonts w:ascii="Arial" w:hAnsi="Arial" w:cs="Arial"/>
          <w:sz w:val="20"/>
          <w:szCs w:val="20"/>
        </w:rPr>
        <w:t>dystocic</w:t>
      </w:r>
      <w:proofErr w:type="spellEnd"/>
      <w:r w:rsidRPr="002502C8">
        <w:rPr>
          <w:rFonts w:ascii="Arial" w:hAnsi="Arial" w:cs="Arial"/>
          <w:sz w:val="20"/>
          <w:szCs w:val="20"/>
        </w:rPr>
        <w:t xml:space="preserve"> delivery depending on which variable was missing. </w:t>
      </w:r>
      <w:proofErr w:type="gramStart"/>
      <w:r w:rsidRPr="002502C8">
        <w:rPr>
          <w:rFonts w:ascii="Arial" w:hAnsi="Arial" w:cs="Arial"/>
          <w:sz w:val="20"/>
          <w:szCs w:val="20"/>
        </w:rPr>
        <w:t>Where as</w:t>
      </w:r>
      <w:proofErr w:type="gramEnd"/>
      <w:r w:rsidRPr="002502C8">
        <w:rPr>
          <w:rFonts w:ascii="Arial" w:hAnsi="Arial" w:cs="Arial"/>
          <w:sz w:val="20"/>
          <w:szCs w:val="20"/>
        </w:rPr>
        <w:t xml:space="preserve"> in best scenario, infants were classified as infants </w:t>
      </w:r>
      <w:r w:rsidRPr="002502C8">
        <w:rPr>
          <w:rFonts w:ascii="Arial" w:hAnsi="Arial" w:cs="Arial"/>
          <w:color w:val="000000"/>
          <w:sz w:val="20"/>
          <w:szCs w:val="20"/>
        </w:rPr>
        <w:t xml:space="preserve">as infants born from mother with no foul liquid amniotic fluid and/or no premature rupture of membranes and/or who experienced </w:t>
      </w:r>
      <w:proofErr w:type="spellStart"/>
      <w:r w:rsidRPr="002502C8">
        <w:rPr>
          <w:rFonts w:ascii="Arial" w:hAnsi="Arial" w:cs="Arial"/>
          <w:color w:val="000000"/>
          <w:sz w:val="20"/>
          <w:szCs w:val="20"/>
        </w:rPr>
        <w:t>eutocic</w:t>
      </w:r>
      <w:proofErr w:type="spellEnd"/>
      <w:r w:rsidRPr="002502C8">
        <w:rPr>
          <w:rFonts w:ascii="Arial" w:hAnsi="Arial" w:cs="Arial"/>
          <w:color w:val="000000"/>
          <w:sz w:val="20"/>
          <w:szCs w:val="20"/>
        </w:rPr>
        <w:t xml:space="preserve"> delivery.</w:t>
      </w:r>
    </w:p>
    <w:p w14:paraId="684FC03A" w14:textId="77777777" w:rsidR="002D4EE7" w:rsidRDefault="002D4EE7" w:rsidP="00EE7E7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D4EE7" w:rsidSect="0062600B">
      <w:footerReference w:type="default" r:id="rId8"/>
      <w:pgSz w:w="11900" w:h="16840"/>
      <w:pgMar w:top="993" w:right="1680" w:bottom="1560" w:left="1680" w:header="0" w:footer="1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3FE5" w14:textId="77777777" w:rsidR="00055098" w:rsidRDefault="00055098" w:rsidP="00243E68">
      <w:pPr>
        <w:spacing w:after="0" w:line="240" w:lineRule="auto"/>
      </w:pPr>
      <w:r>
        <w:separator/>
      </w:r>
    </w:p>
  </w:endnote>
  <w:endnote w:type="continuationSeparator" w:id="0">
    <w:p w14:paraId="33819D0D" w14:textId="77777777" w:rsidR="00055098" w:rsidRDefault="00055098" w:rsidP="00243E68">
      <w:pPr>
        <w:spacing w:after="0" w:line="240" w:lineRule="auto"/>
      </w:pPr>
      <w:r>
        <w:continuationSeparator/>
      </w:r>
    </w:p>
  </w:endnote>
  <w:endnote w:type="continuationNotice" w:id="1">
    <w:p w14:paraId="67A2B988" w14:textId="77777777" w:rsidR="00055098" w:rsidRDefault="00055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99AA" w14:textId="77777777" w:rsidR="00055098" w:rsidRDefault="00055098">
    <w:pPr>
      <w:spacing w:after="0" w:line="18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3250" w14:textId="77777777" w:rsidR="00055098" w:rsidRDefault="00055098" w:rsidP="00243E68">
      <w:pPr>
        <w:spacing w:after="0" w:line="240" w:lineRule="auto"/>
      </w:pPr>
      <w:r>
        <w:separator/>
      </w:r>
    </w:p>
  </w:footnote>
  <w:footnote w:type="continuationSeparator" w:id="0">
    <w:p w14:paraId="09A95AE7" w14:textId="77777777" w:rsidR="00055098" w:rsidRDefault="00055098" w:rsidP="00243E68">
      <w:pPr>
        <w:spacing w:after="0" w:line="240" w:lineRule="auto"/>
      </w:pPr>
      <w:r>
        <w:continuationSeparator/>
      </w:r>
    </w:p>
  </w:footnote>
  <w:footnote w:type="continuationNotice" w:id="1">
    <w:p w14:paraId="4396D88E" w14:textId="77777777" w:rsidR="00055098" w:rsidRDefault="000550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305"/>
    <w:multiLevelType w:val="hybridMultilevel"/>
    <w:tmpl w:val="7D7EE9E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D1867"/>
    <w:multiLevelType w:val="hybridMultilevel"/>
    <w:tmpl w:val="9FBA54D0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24B8"/>
    <w:multiLevelType w:val="hybridMultilevel"/>
    <w:tmpl w:val="CC3EF72C"/>
    <w:lvl w:ilvl="0" w:tplc="040C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91D12FC"/>
    <w:multiLevelType w:val="hybridMultilevel"/>
    <w:tmpl w:val="67BAD738"/>
    <w:lvl w:ilvl="0" w:tplc="ED381CB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DF1"/>
    <w:multiLevelType w:val="hybridMultilevel"/>
    <w:tmpl w:val="07EC4B1E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CF8"/>
    <w:multiLevelType w:val="multilevel"/>
    <w:tmpl w:val="5A689B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CA666C"/>
    <w:multiLevelType w:val="multilevel"/>
    <w:tmpl w:val="2724F38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37E86"/>
    <w:multiLevelType w:val="hybridMultilevel"/>
    <w:tmpl w:val="4640864E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4638"/>
    <w:multiLevelType w:val="hybridMultilevel"/>
    <w:tmpl w:val="B422F99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D6A7C8A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72BD8"/>
    <w:multiLevelType w:val="multilevel"/>
    <w:tmpl w:val="52BEA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8432C4"/>
    <w:multiLevelType w:val="hybridMultilevel"/>
    <w:tmpl w:val="85AEC60C"/>
    <w:lvl w:ilvl="0" w:tplc="7EBEB17C">
      <w:start w:val="6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7628"/>
    <w:multiLevelType w:val="hybridMultilevel"/>
    <w:tmpl w:val="6A7A2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17A3"/>
    <w:multiLevelType w:val="hybridMultilevel"/>
    <w:tmpl w:val="DFBE0086"/>
    <w:lvl w:ilvl="0" w:tplc="040C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52B5420C"/>
    <w:multiLevelType w:val="hybridMultilevel"/>
    <w:tmpl w:val="495A8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011B"/>
    <w:multiLevelType w:val="hybridMultilevel"/>
    <w:tmpl w:val="115EBDCE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462F2"/>
    <w:multiLevelType w:val="hybridMultilevel"/>
    <w:tmpl w:val="3E4AEC3A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D273B1D"/>
    <w:multiLevelType w:val="hybridMultilevel"/>
    <w:tmpl w:val="09A0B848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58C7"/>
    <w:multiLevelType w:val="hybridMultilevel"/>
    <w:tmpl w:val="CCDA6E7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B7419"/>
    <w:multiLevelType w:val="hybridMultilevel"/>
    <w:tmpl w:val="5178F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A0B38"/>
    <w:multiLevelType w:val="hybridMultilevel"/>
    <w:tmpl w:val="3D545446"/>
    <w:lvl w:ilvl="0" w:tplc="8D6A7C8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0896"/>
    <w:multiLevelType w:val="hybridMultilevel"/>
    <w:tmpl w:val="21AE6BD6"/>
    <w:lvl w:ilvl="0" w:tplc="FFFFFFFF">
      <w:start w:val="4"/>
      <w:numFmt w:val="bullet"/>
      <w:lvlText w:val="-"/>
      <w:lvlJc w:val="left"/>
      <w:pPr>
        <w:ind w:left="1429" w:hanging="360"/>
      </w:pPr>
      <w:rPr>
        <w:rFonts w:ascii="Comic Sans MS" w:eastAsia="Times" w:hAnsi="Comic Sans M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1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20"/>
  </w:num>
  <w:num w:numId="13">
    <w:abstractNumId w:val="15"/>
  </w:num>
  <w:num w:numId="14">
    <w:abstractNumId w:val="2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  <w:num w:numId="19">
    <w:abstractNumId w:val="6"/>
  </w:num>
  <w:num w:numId="20">
    <w:abstractNumId w:val="18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68"/>
    <w:rsid w:val="00011047"/>
    <w:rsid w:val="0002141F"/>
    <w:rsid w:val="00031EBD"/>
    <w:rsid w:val="00035B8F"/>
    <w:rsid w:val="00040740"/>
    <w:rsid w:val="00051D38"/>
    <w:rsid w:val="00052E1E"/>
    <w:rsid w:val="00055098"/>
    <w:rsid w:val="000613B8"/>
    <w:rsid w:val="0008454B"/>
    <w:rsid w:val="000C1197"/>
    <w:rsid w:val="000C3401"/>
    <w:rsid w:val="000D63C0"/>
    <w:rsid w:val="0010122E"/>
    <w:rsid w:val="00103E37"/>
    <w:rsid w:val="00123E0F"/>
    <w:rsid w:val="00130E1D"/>
    <w:rsid w:val="001533F9"/>
    <w:rsid w:val="001608B6"/>
    <w:rsid w:val="001647CD"/>
    <w:rsid w:val="00187D69"/>
    <w:rsid w:val="00191E42"/>
    <w:rsid w:val="001B58B7"/>
    <w:rsid w:val="001D4236"/>
    <w:rsid w:val="001E17A0"/>
    <w:rsid w:val="001F4DBF"/>
    <w:rsid w:val="00202DA0"/>
    <w:rsid w:val="0020605C"/>
    <w:rsid w:val="00217AD7"/>
    <w:rsid w:val="00242CEC"/>
    <w:rsid w:val="002438EF"/>
    <w:rsid w:val="00243E68"/>
    <w:rsid w:val="002502C8"/>
    <w:rsid w:val="002559CE"/>
    <w:rsid w:val="00256372"/>
    <w:rsid w:val="00264DD6"/>
    <w:rsid w:val="002747C4"/>
    <w:rsid w:val="00276062"/>
    <w:rsid w:val="00285221"/>
    <w:rsid w:val="00297093"/>
    <w:rsid w:val="002A3186"/>
    <w:rsid w:val="002A608D"/>
    <w:rsid w:val="002B341E"/>
    <w:rsid w:val="002C4476"/>
    <w:rsid w:val="002D4EE7"/>
    <w:rsid w:val="002E10CB"/>
    <w:rsid w:val="002E32F1"/>
    <w:rsid w:val="002E5587"/>
    <w:rsid w:val="002F093C"/>
    <w:rsid w:val="002F379D"/>
    <w:rsid w:val="00300D10"/>
    <w:rsid w:val="003022FC"/>
    <w:rsid w:val="003119BE"/>
    <w:rsid w:val="003451AE"/>
    <w:rsid w:val="003639A8"/>
    <w:rsid w:val="00366AF8"/>
    <w:rsid w:val="003943C7"/>
    <w:rsid w:val="003946F2"/>
    <w:rsid w:val="003A3E82"/>
    <w:rsid w:val="003C0F5F"/>
    <w:rsid w:val="003D1F0B"/>
    <w:rsid w:val="003E09C7"/>
    <w:rsid w:val="003E2313"/>
    <w:rsid w:val="003F25C4"/>
    <w:rsid w:val="003F3628"/>
    <w:rsid w:val="003F6A02"/>
    <w:rsid w:val="0040106B"/>
    <w:rsid w:val="00415C2F"/>
    <w:rsid w:val="004223EF"/>
    <w:rsid w:val="00430913"/>
    <w:rsid w:val="00433339"/>
    <w:rsid w:val="00435544"/>
    <w:rsid w:val="00437A1C"/>
    <w:rsid w:val="004447CF"/>
    <w:rsid w:val="00450740"/>
    <w:rsid w:val="00480339"/>
    <w:rsid w:val="0049036E"/>
    <w:rsid w:val="004A164F"/>
    <w:rsid w:val="004C28BB"/>
    <w:rsid w:val="004C6694"/>
    <w:rsid w:val="004D787F"/>
    <w:rsid w:val="004F1B6E"/>
    <w:rsid w:val="00511728"/>
    <w:rsid w:val="005126D6"/>
    <w:rsid w:val="0051309C"/>
    <w:rsid w:val="005350DE"/>
    <w:rsid w:val="00536E2B"/>
    <w:rsid w:val="00545B6A"/>
    <w:rsid w:val="0055107B"/>
    <w:rsid w:val="00563D87"/>
    <w:rsid w:val="0056782F"/>
    <w:rsid w:val="005730EF"/>
    <w:rsid w:val="005806AF"/>
    <w:rsid w:val="00581B69"/>
    <w:rsid w:val="005853ED"/>
    <w:rsid w:val="00585E65"/>
    <w:rsid w:val="00586B5A"/>
    <w:rsid w:val="005A20A3"/>
    <w:rsid w:val="005A360B"/>
    <w:rsid w:val="005A5280"/>
    <w:rsid w:val="005A5415"/>
    <w:rsid w:val="005C3D35"/>
    <w:rsid w:val="005C6BB3"/>
    <w:rsid w:val="005D7A64"/>
    <w:rsid w:val="005F2429"/>
    <w:rsid w:val="0060225D"/>
    <w:rsid w:val="0060679A"/>
    <w:rsid w:val="006153E3"/>
    <w:rsid w:val="0062600B"/>
    <w:rsid w:val="006414C5"/>
    <w:rsid w:val="00654F8E"/>
    <w:rsid w:val="00683B1D"/>
    <w:rsid w:val="00694F7C"/>
    <w:rsid w:val="006A0E9A"/>
    <w:rsid w:val="006B45DA"/>
    <w:rsid w:val="006D0E3C"/>
    <w:rsid w:val="006D52AE"/>
    <w:rsid w:val="006E0135"/>
    <w:rsid w:val="006E5D82"/>
    <w:rsid w:val="006F13D2"/>
    <w:rsid w:val="007011FF"/>
    <w:rsid w:val="00701992"/>
    <w:rsid w:val="0071446E"/>
    <w:rsid w:val="00722AD8"/>
    <w:rsid w:val="00722DAD"/>
    <w:rsid w:val="00733DBA"/>
    <w:rsid w:val="00745301"/>
    <w:rsid w:val="00747AF1"/>
    <w:rsid w:val="00750FEB"/>
    <w:rsid w:val="0075641F"/>
    <w:rsid w:val="00776C9F"/>
    <w:rsid w:val="00786CFA"/>
    <w:rsid w:val="0079114B"/>
    <w:rsid w:val="007B34DD"/>
    <w:rsid w:val="007B5A4F"/>
    <w:rsid w:val="007B62D9"/>
    <w:rsid w:val="00802CB4"/>
    <w:rsid w:val="00820874"/>
    <w:rsid w:val="008A5F06"/>
    <w:rsid w:val="008A7C34"/>
    <w:rsid w:val="008B559B"/>
    <w:rsid w:val="008D11AD"/>
    <w:rsid w:val="008E33EE"/>
    <w:rsid w:val="008E67EF"/>
    <w:rsid w:val="008F78E4"/>
    <w:rsid w:val="009403B0"/>
    <w:rsid w:val="00953FAE"/>
    <w:rsid w:val="00960A96"/>
    <w:rsid w:val="00967FD6"/>
    <w:rsid w:val="0097526E"/>
    <w:rsid w:val="00981484"/>
    <w:rsid w:val="009F1875"/>
    <w:rsid w:val="009F5AEA"/>
    <w:rsid w:val="009F776D"/>
    <w:rsid w:val="00A0664B"/>
    <w:rsid w:val="00A17D65"/>
    <w:rsid w:val="00A20C59"/>
    <w:rsid w:val="00A27C60"/>
    <w:rsid w:val="00A34A54"/>
    <w:rsid w:val="00A372F7"/>
    <w:rsid w:val="00A41A45"/>
    <w:rsid w:val="00A84F9A"/>
    <w:rsid w:val="00A905CA"/>
    <w:rsid w:val="00A93279"/>
    <w:rsid w:val="00AC388E"/>
    <w:rsid w:val="00AC4DBC"/>
    <w:rsid w:val="00AC6464"/>
    <w:rsid w:val="00AD1D11"/>
    <w:rsid w:val="00AE49E8"/>
    <w:rsid w:val="00AE621E"/>
    <w:rsid w:val="00B06C78"/>
    <w:rsid w:val="00B10381"/>
    <w:rsid w:val="00B15CF1"/>
    <w:rsid w:val="00B166BB"/>
    <w:rsid w:val="00B25FE1"/>
    <w:rsid w:val="00B40F47"/>
    <w:rsid w:val="00B45484"/>
    <w:rsid w:val="00B51053"/>
    <w:rsid w:val="00B80946"/>
    <w:rsid w:val="00B92146"/>
    <w:rsid w:val="00B9716B"/>
    <w:rsid w:val="00BB407E"/>
    <w:rsid w:val="00BC42BB"/>
    <w:rsid w:val="00BC7964"/>
    <w:rsid w:val="00C06F81"/>
    <w:rsid w:val="00C3126A"/>
    <w:rsid w:val="00C32F5A"/>
    <w:rsid w:val="00C462A2"/>
    <w:rsid w:val="00C607E7"/>
    <w:rsid w:val="00C721A0"/>
    <w:rsid w:val="00C95C61"/>
    <w:rsid w:val="00CA1BBF"/>
    <w:rsid w:val="00CA253D"/>
    <w:rsid w:val="00CA6690"/>
    <w:rsid w:val="00CE32CB"/>
    <w:rsid w:val="00D026F2"/>
    <w:rsid w:val="00D1447C"/>
    <w:rsid w:val="00D550A6"/>
    <w:rsid w:val="00D57941"/>
    <w:rsid w:val="00D62B63"/>
    <w:rsid w:val="00D759BC"/>
    <w:rsid w:val="00D75F26"/>
    <w:rsid w:val="00D834AE"/>
    <w:rsid w:val="00DA3185"/>
    <w:rsid w:val="00DC20C7"/>
    <w:rsid w:val="00DC7FFC"/>
    <w:rsid w:val="00DD5130"/>
    <w:rsid w:val="00DE298D"/>
    <w:rsid w:val="00DE4670"/>
    <w:rsid w:val="00E27841"/>
    <w:rsid w:val="00E363B8"/>
    <w:rsid w:val="00E42395"/>
    <w:rsid w:val="00E941B9"/>
    <w:rsid w:val="00E96200"/>
    <w:rsid w:val="00EA17BD"/>
    <w:rsid w:val="00EA2669"/>
    <w:rsid w:val="00EB3BCA"/>
    <w:rsid w:val="00EB538E"/>
    <w:rsid w:val="00ED5D7C"/>
    <w:rsid w:val="00EE7E78"/>
    <w:rsid w:val="00EF58EE"/>
    <w:rsid w:val="00F04C18"/>
    <w:rsid w:val="00F11183"/>
    <w:rsid w:val="00F24EEE"/>
    <w:rsid w:val="00F26137"/>
    <w:rsid w:val="00F30AA7"/>
    <w:rsid w:val="00F35BAB"/>
    <w:rsid w:val="00F5135F"/>
    <w:rsid w:val="00F6199E"/>
    <w:rsid w:val="00F8190D"/>
    <w:rsid w:val="00FB2118"/>
    <w:rsid w:val="00FD6FB6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37753A"/>
  <w15:docId w15:val="{65B10467-ABE1-45B1-900E-C075F07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6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437A1C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E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243E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3E68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aliases w:val="Titre 2'"/>
    <w:basedOn w:val="Normal"/>
    <w:uiPriority w:val="34"/>
    <w:qFormat/>
    <w:rsid w:val="00243E68"/>
    <w:pPr>
      <w:widowControl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243E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243E68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43E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243E68"/>
    <w:rPr>
      <w:rFonts w:ascii="Calibri" w:eastAsia="Calibri" w:hAnsi="Calibri" w:cs="Times New Roman"/>
      <w:lang w:val="en-US"/>
    </w:rPr>
  </w:style>
  <w:style w:type="character" w:styleId="Marquedecommentaire">
    <w:name w:val="annotation reference"/>
    <w:uiPriority w:val="99"/>
    <w:semiHidden/>
    <w:unhideWhenUsed/>
    <w:rsid w:val="00DC7F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DC7FF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rsid w:val="00DC7FFC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F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C7FFC"/>
    <w:rPr>
      <w:b/>
      <w:bCs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F30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49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49E8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E49E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37A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437A1C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1E17A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A20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6E2A35-F217-42DC-A043-B6CE7AA6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mpadget</dc:creator>
  <cp:keywords/>
  <dc:description/>
  <cp:lastModifiedBy>Bich-Tram  HUYNH</cp:lastModifiedBy>
  <cp:revision>4</cp:revision>
  <dcterms:created xsi:type="dcterms:W3CDTF">2021-03-16T16:38:00Z</dcterms:created>
  <dcterms:modified xsi:type="dcterms:W3CDTF">2021-05-27T11:59:00Z</dcterms:modified>
</cp:coreProperties>
</file>