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5CC5F" w14:textId="358CF70A" w:rsidR="008300C1" w:rsidRPr="002E0527" w:rsidRDefault="008300C1" w:rsidP="008300C1">
      <w:pPr>
        <w:rPr>
          <w:b/>
          <w:sz w:val="22"/>
          <w:szCs w:val="22"/>
          <w:vertAlign w:val="superscript"/>
        </w:rPr>
      </w:pPr>
      <w:r>
        <w:rPr>
          <w:b/>
          <w:sz w:val="22"/>
          <w:szCs w:val="22"/>
        </w:rPr>
        <w:t>S9 Table</w:t>
      </w:r>
      <w:r w:rsidRPr="002E0527">
        <w:rPr>
          <w:b/>
          <w:sz w:val="22"/>
          <w:szCs w:val="22"/>
        </w:rPr>
        <w:t xml:space="preserve">. </w:t>
      </w:r>
      <w:r>
        <w:rPr>
          <w:b/>
          <w:sz w:val="22"/>
          <w:szCs w:val="22"/>
        </w:rPr>
        <w:t>Difference between average monthly and long-term average temperatures</w:t>
      </w:r>
      <w:r w:rsidRPr="002E0527">
        <w:rPr>
          <w:b/>
          <w:sz w:val="22"/>
          <w:szCs w:val="22"/>
        </w:rPr>
        <w:t>, 2003</w:t>
      </w:r>
      <w:r w:rsidRPr="00594722">
        <w:rPr>
          <w:b/>
          <w:sz w:val="22"/>
          <w:szCs w:val="22"/>
        </w:rPr>
        <w:t>–</w:t>
      </w:r>
      <w:r w:rsidRPr="002E0527">
        <w:rPr>
          <w:b/>
          <w:sz w:val="22"/>
          <w:szCs w:val="22"/>
        </w:rPr>
        <w:t xml:space="preserve">2017 </w:t>
      </w:r>
      <w:r w:rsidRPr="002E0527">
        <w:rPr>
          <w:b/>
          <w:sz w:val="22"/>
          <w:szCs w:val="22"/>
          <w:vertAlign w:val="superscript"/>
        </w:rPr>
        <w:t>1</w:t>
      </w:r>
      <w:r>
        <w:rPr>
          <w:b/>
          <w:sz w:val="22"/>
          <w:szCs w:val="22"/>
          <w:vertAlign w:val="superscript"/>
        </w:rPr>
        <w:t>,2,3</w:t>
      </w:r>
    </w:p>
    <w:tbl>
      <w:tblPr>
        <w:tblStyle w:val="TableGrid"/>
        <w:tblW w:w="0" w:type="auto"/>
        <w:tblLook w:val="04A0" w:firstRow="1" w:lastRow="0" w:firstColumn="1" w:lastColumn="0" w:noHBand="0" w:noVBand="1"/>
      </w:tblPr>
      <w:tblGrid>
        <w:gridCol w:w="3232"/>
        <w:gridCol w:w="3232"/>
        <w:gridCol w:w="3233"/>
        <w:gridCol w:w="3233"/>
      </w:tblGrid>
      <w:tr w:rsidR="008300C1" w:rsidRPr="00CC472E" w14:paraId="6AA6C5D9" w14:textId="77777777" w:rsidTr="006B2A7A">
        <w:tc>
          <w:tcPr>
            <w:tcW w:w="3232" w:type="dxa"/>
            <w:tcBorders>
              <w:top w:val="single" w:sz="12" w:space="0" w:color="auto"/>
              <w:left w:val="single" w:sz="12" w:space="0" w:color="auto"/>
              <w:right w:val="single" w:sz="12" w:space="0" w:color="auto"/>
            </w:tcBorders>
          </w:tcPr>
          <w:p w14:paraId="7D3E332C" w14:textId="77777777" w:rsidR="008300C1" w:rsidRPr="004B0CCE" w:rsidRDefault="008300C1" w:rsidP="006B2A7A">
            <w:pPr>
              <w:rPr>
                <w:bCs/>
              </w:rPr>
            </w:pPr>
          </w:p>
        </w:tc>
        <w:tc>
          <w:tcPr>
            <w:tcW w:w="3232" w:type="dxa"/>
            <w:tcBorders>
              <w:top w:val="single" w:sz="12" w:space="0" w:color="auto"/>
              <w:left w:val="single" w:sz="12" w:space="0" w:color="auto"/>
            </w:tcBorders>
            <w:vAlign w:val="center"/>
          </w:tcPr>
          <w:p w14:paraId="563E16F2" w14:textId="77777777" w:rsidR="008300C1" w:rsidRPr="004B0CCE" w:rsidRDefault="008300C1" w:rsidP="006B2A7A">
            <w:pPr>
              <w:jc w:val="center"/>
              <w:rPr>
                <w:bCs/>
                <w:vertAlign w:val="superscript"/>
              </w:rPr>
            </w:pPr>
            <w:r w:rsidRPr="004B0CCE">
              <w:rPr>
                <w:b/>
              </w:rPr>
              <w:t xml:space="preserve">Outpatient Visits </w:t>
            </w:r>
            <w:r w:rsidRPr="004B0CCE">
              <w:rPr>
                <w:b/>
                <w:vertAlign w:val="superscript"/>
              </w:rPr>
              <w:t>4</w:t>
            </w:r>
          </w:p>
          <w:p w14:paraId="27031469" w14:textId="77777777" w:rsidR="008300C1" w:rsidRPr="004B0CCE" w:rsidRDefault="008300C1" w:rsidP="006B2A7A">
            <w:pPr>
              <w:jc w:val="center"/>
              <w:rPr>
                <w:bCs/>
              </w:rPr>
            </w:pPr>
            <w:r w:rsidRPr="004B0CCE">
              <w:rPr>
                <w:bCs/>
              </w:rPr>
              <w:t>RR (95% CI)</w:t>
            </w:r>
          </w:p>
        </w:tc>
        <w:tc>
          <w:tcPr>
            <w:tcW w:w="3233" w:type="dxa"/>
            <w:tcBorders>
              <w:top w:val="single" w:sz="12" w:space="0" w:color="auto"/>
            </w:tcBorders>
            <w:vAlign w:val="center"/>
          </w:tcPr>
          <w:p w14:paraId="3C32D976" w14:textId="77777777" w:rsidR="008300C1" w:rsidRPr="004B0CCE" w:rsidRDefault="008300C1" w:rsidP="006B2A7A">
            <w:pPr>
              <w:jc w:val="center"/>
              <w:rPr>
                <w:b/>
              </w:rPr>
            </w:pPr>
            <w:r w:rsidRPr="004B0CCE">
              <w:rPr>
                <w:b/>
              </w:rPr>
              <w:t>Emergency Visits</w:t>
            </w:r>
          </w:p>
          <w:p w14:paraId="05CD4B21" w14:textId="77777777" w:rsidR="008300C1" w:rsidRPr="004B0CCE" w:rsidRDefault="008300C1" w:rsidP="006B2A7A">
            <w:pPr>
              <w:jc w:val="center"/>
              <w:rPr>
                <w:bCs/>
              </w:rPr>
            </w:pPr>
            <w:r w:rsidRPr="004B0CCE">
              <w:rPr>
                <w:bCs/>
              </w:rPr>
              <w:t>RR (95% CI)</w:t>
            </w:r>
          </w:p>
        </w:tc>
        <w:tc>
          <w:tcPr>
            <w:tcW w:w="3233" w:type="dxa"/>
            <w:tcBorders>
              <w:top w:val="single" w:sz="12" w:space="0" w:color="auto"/>
              <w:right w:val="single" w:sz="12" w:space="0" w:color="auto"/>
            </w:tcBorders>
            <w:vAlign w:val="center"/>
          </w:tcPr>
          <w:p w14:paraId="2FC7DA80" w14:textId="77777777" w:rsidR="008300C1" w:rsidRPr="004B0CCE" w:rsidRDefault="008300C1" w:rsidP="006B2A7A">
            <w:pPr>
              <w:jc w:val="center"/>
              <w:rPr>
                <w:b/>
              </w:rPr>
            </w:pPr>
            <w:r w:rsidRPr="004B0CCE">
              <w:rPr>
                <w:b/>
              </w:rPr>
              <w:t>Inpatient Visits</w:t>
            </w:r>
          </w:p>
          <w:p w14:paraId="21162C1B" w14:textId="77777777" w:rsidR="008300C1" w:rsidRPr="004B0CCE" w:rsidRDefault="008300C1" w:rsidP="006B2A7A">
            <w:pPr>
              <w:jc w:val="center"/>
              <w:rPr>
                <w:bCs/>
              </w:rPr>
            </w:pPr>
            <w:r w:rsidRPr="004B0CCE">
              <w:rPr>
                <w:bCs/>
              </w:rPr>
              <w:t>RR (95% CI)</w:t>
            </w:r>
          </w:p>
        </w:tc>
      </w:tr>
      <w:tr w:rsidR="008300C1" w:rsidRPr="00CC472E" w14:paraId="33467302" w14:textId="77777777" w:rsidTr="006B2A7A">
        <w:trPr>
          <w:trHeight w:val="386"/>
        </w:trPr>
        <w:tc>
          <w:tcPr>
            <w:tcW w:w="3232" w:type="dxa"/>
            <w:tcBorders>
              <w:left w:val="single" w:sz="12" w:space="0" w:color="auto"/>
              <w:bottom w:val="single" w:sz="12" w:space="0" w:color="auto"/>
              <w:right w:val="single" w:sz="12" w:space="0" w:color="auto"/>
            </w:tcBorders>
            <w:vAlign w:val="center"/>
          </w:tcPr>
          <w:p w14:paraId="1B00FEF6" w14:textId="77777777" w:rsidR="008300C1" w:rsidRPr="004B0CCE" w:rsidRDefault="008300C1" w:rsidP="006B2A7A">
            <w:pPr>
              <w:rPr>
                <w:bCs/>
              </w:rPr>
            </w:pPr>
          </w:p>
          <w:p w14:paraId="1041D0C7" w14:textId="77777777" w:rsidR="008300C1" w:rsidRPr="004B0CCE" w:rsidRDefault="008300C1" w:rsidP="006B2A7A">
            <w:pPr>
              <w:rPr>
                <w:bCs/>
              </w:rPr>
            </w:pPr>
            <w:r w:rsidRPr="004B0CCE">
              <w:rPr>
                <w:bCs/>
              </w:rPr>
              <w:t>≤ 0.0˚C</w:t>
            </w:r>
          </w:p>
          <w:p w14:paraId="47F3189E" w14:textId="77777777" w:rsidR="008300C1" w:rsidRPr="004B0CCE" w:rsidRDefault="008300C1" w:rsidP="006B2A7A">
            <w:pPr>
              <w:rPr>
                <w:bCs/>
              </w:rPr>
            </w:pPr>
            <w:r>
              <w:rPr>
                <w:bCs/>
              </w:rPr>
              <w:t xml:space="preserve">(0.0 </w:t>
            </w:r>
            <w:r w:rsidRPr="004B0CCE">
              <w:rPr>
                <w:bCs/>
              </w:rPr>
              <w:t>– 1.5˚C]</w:t>
            </w:r>
          </w:p>
          <w:p w14:paraId="54043353" w14:textId="77777777" w:rsidR="008300C1" w:rsidRPr="004B0CCE" w:rsidRDefault="008300C1" w:rsidP="006B2A7A">
            <w:pPr>
              <w:rPr>
                <w:bCs/>
              </w:rPr>
            </w:pPr>
            <w:r w:rsidRPr="004B0CCE">
              <w:rPr>
                <w:bCs/>
              </w:rPr>
              <w:t>(1.5 – 3.0˚C]</w:t>
            </w:r>
          </w:p>
          <w:p w14:paraId="4031CD65" w14:textId="77777777" w:rsidR="008300C1" w:rsidRPr="004B0CCE" w:rsidRDefault="008300C1" w:rsidP="006B2A7A">
            <w:pPr>
              <w:rPr>
                <w:bCs/>
              </w:rPr>
            </w:pPr>
            <w:r w:rsidRPr="004B0CCE">
              <w:rPr>
                <w:bCs/>
              </w:rPr>
              <w:t>(3.0 – 4.5˚C]</w:t>
            </w:r>
          </w:p>
          <w:p w14:paraId="51A17827" w14:textId="77777777" w:rsidR="008300C1" w:rsidRPr="004B0CCE" w:rsidRDefault="008300C1" w:rsidP="006B2A7A">
            <w:pPr>
              <w:rPr>
                <w:bCs/>
              </w:rPr>
            </w:pPr>
            <w:r w:rsidRPr="004B0CCE">
              <w:rPr>
                <w:bCs/>
              </w:rPr>
              <w:t>&gt; 4.5˚C</w:t>
            </w:r>
          </w:p>
        </w:tc>
        <w:tc>
          <w:tcPr>
            <w:tcW w:w="3232" w:type="dxa"/>
            <w:tcBorders>
              <w:left w:val="single" w:sz="12" w:space="0" w:color="auto"/>
              <w:bottom w:val="single" w:sz="12" w:space="0" w:color="auto"/>
            </w:tcBorders>
          </w:tcPr>
          <w:p w14:paraId="3A8B4F8D" w14:textId="77777777" w:rsidR="008300C1" w:rsidRPr="004B0CCE" w:rsidRDefault="008300C1" w:rsidP="006B2A7A">
            <w:pPr>
              <w:jc w:val="center"/>
              <w:rPr>
                <w:bCs/>
              </w:rPr>
            </w:pPr>
          </w:p>
          <w:p w14:paraId="0D77B6D5" w14:textId="77777777" w:rsidR="008300C1" w:rsidRPr="004B0CCE" w:rsidRDefault="008300C1" w:rsidP="006B2A7A">
            <w:pPr>
              <w:jc w:val="center"/>
              <w:rPr>
                <w:bCs/>
              </w:rPr>
            </w:pPr>
            <w:r w:rsidRPr="004B0CCE">
              <w:rPr>
                <w:bCs/>
              </w:rPr>
              <w:t>1.00</w:t>
            </w:r>
          </w:p>
          <w:p w14:paraId="44ADBE5A" w14:textId="77777777" w:rsidR="008300C1" w:rsidRPr="004B0CCE" w:rsidRDefault="008300C1" w:rsidP="006B2A7A">
            <w:pPr>
              <w:jc w:val="center"/>
              <w:rPr>
                <w:bCs/>
              </w:rPr>
            </w:pPr>
            <w:r w:rsidRPr="004B0CCE">
              <w:rPr>
                <w:bCs/>
              </w:rPr>
              <w:t>1.001 (0.996 – 1.006)</w:t>
            </w:r>
          </w:p>
          <w:p w14:paraId="586C6CA5" w14:textId="77777777" w:rsidR="008300C1" w:rsidRPr="004B0CCE" w:rsidRDefault="008300C1" w:rsidP="006B2A7A">
            <w:pPr>
              <w:jc w:val="center"/>
              <w:rPr>
                <w:bCs/>
              </w:rPr>
            </w:pPr>
            <w:r w:rsidRPr="004B0CCE">
              <w:rPr>
                <w:bCs/>
              </w:rPr>
              <w:t>1.003 (0.997 – 1.010)</w:t>
            </w:r>
          </w:p>
          <w:p w14:paraId="5290C9A3" w14:textId="77777777" w:rsidR="008300C1" w:rsidRPr="004B0CCE" w:rsidRDefault="008300C1" w:rsidP="006B2A7A">
            <w:pPr>
              <w:jc w:val="center"/>
              <w:rPr>
                <w:bCs/>
              </w:rPr>
            </w:pPr>
            <w:r w:rsidRPr="004B0CCE">
              <w:rPr>
                <w:bCs/>
              </w:rPr>
              <w:t>1.036 (1.022 – 1.049)</w:t>
            </w:r>
          </w:p>
          <w:p w14:paraId="179447F0" w14:textId="77777777" w:rsidR="008300C1" w:rsidRPr="004B0CCE" w:rsidRDefault="008300C1" w:rsidP="006B2A7A">
            <w:pPr>
              <w:jc w:val="center"/>
              <w:rPr>
                <w:bCs/>
              </w:rPr>
            </w:pPr>
            <w:r w:rsidRPr="004B0CCE">
              <w:rPr>
                <w:bCs/>
              </w:rPr>
              <w:t>1.022 (1.012 – 1.040)</w:t>
            </w:r>
          </w:p>
        </w:tc>
        <w:tc>
          <w:tcPr>
            <w:tcW w:w="3233" w:type="dxa"/>
            <w:tcBorders>
              <w:bottom w:val="single" w:sz="12" w:space="0" w:color="auto"/>
            </w:tcBorders>
          </w:tcPr>
          <w:p w14:paraId="2E986DDF" w14:textId="77777777" w:rsidR="008300C1" w:rsidRPr="004B0CCE" w:rsidRDefault="008300C1" w:rsidP="006B2A7A">
            <w:pPr>
              <w:jc w:val="center"/>
              <w:rPr>
                <w:bCs/>
              </w:rPr>
            </w:pPr>
          </w:p>
          <w:p w14:paraId="28BBD9E2" w14:textId="77777777" w:rsidR="008300C1" w:rsidRPr="004B0CCE" w:rsidRDefault="008300C1" w:rsidP="006B2A7A">
            <w:pPr>
              <w:jc w:val="center"/>
              <w:rPr>
                <w:bCs/>
              </w:rPr>
            </w:pPr>
            <w:r w:rsidRPr="004B0CCE">
              <w:rPr>
                <w:bCs/>
              </w:rPr>
              <w:t>1.00</w:t>
            </w:r>
          </w:p>
          <w:p w14:paraId="49A26CB9" w14:textId="77777777" w:rsidR="008300C1" w:rsidRPr="004B0CCE" w:rsidRDefault="008300C1" w:rsidP="006B2A7A">
            <w:pPr>
              <w:jc w:val="center"/>
              <w:rPr>
                <w:bCs/>
              </w:rPr>
            </w:pPr>
            <w:r w:rsidRPr="004B0CCE">
              <w:rPr>
                <w:bCs/>
              </w:rPr>
              <w:t>0.985 (0.967 – 1.003)</w:t>
            </w:r>
          </w:p>
          <w:p w14:paraId="7731C2D4" w14:textId="77777777" w:rsidR="008300C1" w:rsidRPr="004B0CCE" w:rsidRDefault="008300C1" w:rsidP="006B2A7A">
            <w:pPr>
              <w:jc w:val="center"/>
              <w:rPr>
                <w:bCs/>
              </w:rPr>
            </w:pPr>
            <w:r w:rsidRPr="004B0CCE">
              <w:rPr>
                <w:bCs/>
              </w:rPr>
              <w:t>1.015 (0.989 – 1.042)</w:t>
            </w:r>
          </w:p>
          <w:p w14:paraId="4B0C461C" w14:textId="77777777" w:rsidR="008300C1" w:rsidRPr="004B0CCE" w:rsidRDefault="008300C1" w:rsidP="006B2A7A">
            <w:pPr>
              <w:jc w:val="center"/>
              <w:rPr>
                <w:bCs/>
              </w:rPr>
            </w:pPr>
            <w:r w:rsidRPr="004B0CCE">
              <w:rPr>
                <w:bCs/>
              </w:rPr>
              <w:t>1.050 (1.010 – 1.092)</w:t>
            </w:r>
          </w:p>
          <w:p w14:paraId="30EA8D32" w14:textId="77777777" w:rsidR="008300C1" w:rsidRPr="004B0CCE" w:rsidRDefault="008300C1" w:rsidP="006B2A7A">
            <w:pPr>
              <w:jc w:val="center"/>
              <w:rPr>
                <w:bCs/>
              </w:rPr>
            </w:pPr>
            <w:r w:rsidRPr="004B0CCE">
              <w:rPr>
                <w:bCs/>
              </w:rPr>
              <w:t>1.056 (0.998 – 1.117)</w:t>
            </w:r>
          </w:p>
        </w:tc>
        <w:tc>
          <w:tcPr>
            <w:tcW w:w="3233" w:type="dxa"/>
            <w:tcBorders>
              <w:bottom w:val="single" w:sz="12" w:space="0" w:color="auto"/>
              <w:right w:val="single" w:sz="12" w:space="0" w:color="auto"/>
            </w:tcBorders>
          </w:tcPr>
          <w:p w14:paraId="313775A8" w14:textId="77777777" w:rsidR="008300C1" w:rsidRPr="004B0CCE" w:rsidRDefault="008300C1" w:rsidP="006B2A7A">
            <w:pPr>
              <w:jc w:val="center"/>
              <w:rPr>
                <w:bCs/>
              </w:rPr>
            </w:pPr>
          </w:p>
          <w:p w14:paraId="37A9743D" w14:textId="77777777" w:rsidR="008300C1" w:rsidRPr="004B0CCE" w:rsidRDefault="008300C1" w:rsidP="006B2A7A">
            <w:pPr>
              <w:jc w:val="center"/>
              <w:rPr>
                <w:bCs/>
              </w:rPr>
            </w:pPr>
            <w:r w:rsidRPr="004B0CCE">
              <w:rPr>
                <w:bCs/>
              </w:rPr>
              <w:t>1.00</w:t>
            </w:r>
          </w:p>
          <w:p w14:paraId="7ADD2990" w14:textId="77777777" w:rsidR="008300C1" w:rsidRPr="004B0CCE" w:rsidRDefault="008300C1" w:rsidP="006B2A7A">
            <w:pPr>
              <w:jc w:val="center"/>
              <w:rPr>
                <w:bCs/>
              </w:rPr>
            </w:pPr>
            <w:r w:rsidRPr="004B0CCE">
              <w:rPr>
                <w:bCs/>
              </w:rPr>
              <w:t>0.994 (0.980 – 1.008)</w:t>
            </w:r>
          </w:p>
          <w:p w14:paraId="11907E9D" w14:textId="77777777" w:rsidR="008300C1" w:rsidRPr="004B0CCE" w:rsidRDefault="008300C1" w:rsidP="006B2A7A">
            <w:pPr>
              <w:jc w:val="center"/>
              <w:rPr>
                <w:bCs/>
              </w:rPr>
            </w:pPr>
            <w:r w:rsidRPr="004B0CCE">
              <w:rPr>
                <w:bCs/>
              </w:rPr>
              <w:t>1.013 (0.993 – 1.033)</w:t>
            </w:r>
          </w:p>
          <w:p w14:paraId="6F5605E7" w14:textId="77777777" w:rsidR="008300C1" w:rsidRPr="004B0CCE" w:rsidRDefault="008300C1" w:rsidP="006B2A7A">
            <w:pPr>
              <w:jc w:val="center"/>
              <w:rPr>
                <w:bCs/>
              </w:rPr>
            </w:pPr>
            <w:r w:rsidRPr="004B0CCE">
              <w:rPr>
                <w:bCs/>
              </w:rPr>
              <w:t>1.116 (1.081 – 1.153)</w:t>
            </w:r>
          </w:p>
          <w:p w14:paraId="522D69F3" w14:textId="77777777" w:rsidR="008300C1" w:rsidRPr="004B0CCE" w:rsidRDefault="008300C1" w:rsidP="006B2A7A">
            <w:pPr>
              <w:jc w:val="center"/>
              <w:rPr>
                <w:bCs/>
              </w:rPr>
            </w:pPr>
            <w:r w:rsidRPr="004B0CCE">
              <w:rPr>
                <w:bCs/>
              </w:rPr>
              <w:t>1.119 (1.070 – 1.171)</w:t>
            </w:r>
          </w:p>
        </w:tc>
      </w:tr>
    </w:tbl>
    <w:p w14:paraId="30B6E480" w14:textId="77777777" w:rsidR="008300C1" w:rsidRPr="00492D73" w:rsidRDefault="008300C1" w:rsidP="008300C1">
      <w:pPr>
        <w:rPr>
          <w:b/>
          <w:sz w:val="8"/>
          <w:szCs w:val="8"/>
        </w:rPr>
      </w:pPr>
    </w:p>
    <w:p w14:paraId="7368D4FE" w14:textId="77777777" w:rsidR="008300C1" w:rsidRPr="0018114C" w:rsidRDefault="008300C1" w:rsidP="008300C1">
      <w:pPr>
        <w:pStyle w:val="ListParagraph"/>
        <w:numPr>
          <w:ilvl w:val="0"/>
          <w:numId w:val="1"/>
        </w:numPr>
        <w:ind w:left="360"/>
        <w:rPr>
          <w:b/>
          <w:sz w:val="20"/>
          <w:szCs w:val="20"/>
        </w:rPr>
      </w:pPr>
      <w:r w:rsidRPr="0018114C">
        <w:rPr>
          <w:bCs/>
          <w:sz w:val="20"/>
          <w:szCs w:val="20"/>
        </w:rPr>
        <w:t>Exposure is a categorical metric for deviation from monthly average temperature from the long-run average for each calendar month and county. The reference category includes all months in which the monthly average is equal to or less than the long-run average. The remaining categories are defined as deviations of the monthly average temperature from the long-run average by &gt; 0.0 and ≤ 1.5˚C; &gt; 1.5 and ≤ 3.0˚C; &gt; 3.0 and ≤ 4.5˚C; and &gt; 4.5˚C</w:t>
      </w:r>
    </w:p>
    <w:p w14:paraId="17C013F4" w14:textId="77777777" w:rsidR="008300C1" w:rsidRPr="0018114C" w:rsidRDefault="008300C1" w:rsidP="008300C1">
      <w:pPr>
        <w:pStyle w:val="ListParagraph"/>
        <w:numPr>
          <w:ilvl w:val="0"/>
          <w:numId w:val="1"/>
        </w:numPr>
        <w:ind w:left="360"/>
        <w:rPr>
          <w:b/>
          <w:sz w:val="20"/>
          <w:szCs w:val="20"/>
        </w:rPr>
      </w:pPr>
      <w:r w:rsidRPr="0018114C">
        <w:rPr>
          <w:bCs/>
          <w:sz w:val="20"/>
          <w:szCs w:val="20"/>
        </w:rPr>
        <w:t xml:space="preserve">We defined MS-related visits as those with diagnostic codes 340 (ICD-9) and G35 (ICD-10) for the first, second, or third diagnostic position. </w:t>
      </w:r>
    </w:p>
    <w:p w14:paraId="3ECA3EE6" w14:textId="77777777" w:rsidR="008300C1" w:rsidRPr="0018114C" w:rsidRDefault="008300C1" w:rsidP="008300C1">
      <w:pPr>
        <w:pStyle w:val="ListParagraph"/>
        <w:numPr>
          <w:ilvl w:val="0"/>
          <w:numId w:val="1"/>
        </w:numPr>
        <w:ind w:left="360"/>
        <w:rPr>
          <w:b/>
          <w:sz w:val="20"/>
          <w:szCs w:val="20"/>
        </w:rPr>
      </w:pPr>
      <w:r w:rsidRPr="0018114C">
        <w:rPr>
          <w:bCs/>
          <w:sz w:val="20"/>
          <w:szCs w:val="20"/>
        </w:rPr>
        <w:t xml:space="preserve">We used generalized linear models with the binomial family and log link specified to estimate risk ratios. All models included controls categorical sex (male, female), continuous age defined by natural splines with three degrees of freedom, and a set of indicator variables for state and calendar year. We calculated robust-standard errors to account for potential non-independence of outcomes within individuals over time and within counties.    </w:t>
      </w:r>
    </w:p>
    <w:p w14:paraId="6FDBCD6D" w14:textId="77777777" w:rsidR="008300C1" w:rsidRPr="0018114C" w:rsidRDefault="008300C1" w:rsidP="008300C1">
      <w:pPr>
        <w:pStyle w:val="ListParagraph"/>
        <w:numPr>
          <w:ilvl w:val="0"/>
          <w:numId w:val="1"/>
        </w:numPr>
        <w:ind w:left="360"/>
        <w:rPr>
          <w:b/>
          <w:sz w:val="20"/>
          <w:szCs w:val="20"/>
        </w:rPr>
      </w:pPr>
      <w:r>
        <w:rPr>
          <w:bCs/>
          <w:sz w:val="20"/>
          <w:szCs w:val="20"/>
        </w:rPr>
        <w:t>V</w:t>
      </w:r>
      <w:r w:rsidRPr="0018114C">
        <w:rPr>
          <w:bCs/>
          <w:sz w:val="20"/>
          <w:szCs w:val="20"/>
        </w:rPr>
        <w:t xml:space="preserve">isits to medical offices, outpatient hospitals, urgent care facilities, independent clinics, walk-in retail health clinics, and state or local public health clinics.  </w:t>
      </w:r>
    </w:p>
    <w:p w14:paraId="1F40216B" w14:textId="77777777" w:rsidR="00E83C43" w:rsidRDefault="008300C1"/>
    <w:sectPr w:rsidR="00E83C43" w:rsidSect="008300C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2039DA"/>
    <w:multiLevelType w:val="hybridMultilevel"/>
    <w:tmpl w:val="EA14C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0C1"/>
    <w:rsid w:val="00044C7E"/>
    <w:rsid w:val="000569FD"/>
    <w:rsid w:val="00063154"/>
    <w:rsid w:val="00087423"/>
    <w:rsid w:val="00106A7E"/>
    <w:rsid w:val="001537B8"/>
    <w:rsid w:val="00165E6F"/>
    <w:rsid w:val="00187703"/>
    <w:rsid w:val="001A27D6"/>
    <w:rsid w:val="001B135F"/>
    <w:rsid w:val="001C530A"/>
    <w:rsid w:val="00226738"/>
    <w:rsid w:val="00230F1C"/>
    <w:rsid w:val="00241EF3"/>
    <w:rsid w:val="00261771"/>
    <w:rsid w:val="002F0922"/>
    <w:rsid w:val="00355281"/>
    <w:rsid w:val="003F4B4E"/>
    <w:rsid w:val="003F5E8E"/>
    <w:rsid w:val="00430472"/>
    <w:rsid w:val="00471B9A"/>
    <w:rsid w:val="00483EF6"/>
    <w:rsid w:val="004B2E16"/>
    <w:rsid w:val="005334B4"/>
    <w:rsid w:val="005A65A4"/>
    <w:rsid w:val="005B02E7"/>
    <w:rsid w:val="005C7402"/>
    <w:rsid w:val="0060313E"/>
    <w:rsid w:val="00610E6D"/>
    <w:rsid w:val="006B3C77"/>
    <w:rsid w:val="006E6208"/>
    <w:rsid w:val="007651A6"/>
    <w:rsid w:val="007F7157"/>
    <w:rsid w:val="008300C1"/>
    <w:rsid w:val="008C2A26"/>
    <w:rsid w:val="008F1C82"/>
    <w:rsid w:val="00905466"/>
    <w:rsid w:val="00937500"/>
    <w:rsid w:val="00951BA8"/>
    <w:rsid w:val="00965A81"/>
    <w:rsid w:val="009831AA"/>
    <w:rsid w:val="009D635C"/>
    <w:rsid w:val="00A43736"/>
    <w:rsid w:val="00AA5FF6"/>
    <w:rsid w:val="00AB2D71"/>
    <w:rsid w:val="00AF3381"/>
    <w:rsid w:val="00B8546B"/>
    <w:rsid w:val="00BE11B4"/>
    <w:rsid w:val="00BF2F7D"/>
    <w:rsid w:val="00BF449B"/>
    <w:rsid w:val="00C01FFF"/>
    <w:rsid w:val="00C05F33"/>
    <w:rsid w:val="00C71C6C"/>
    <w:rsid w:val="00CC0143"/>
    <w:rsid w:val="00CD153B"/>
    <w:rsid w:val="00CF0695"/>
    <w:rsid w:val="00D453F7"/>
    <w:rsid w:val="00D75578"/>
    <w:rsid w:val="00DC60E4"/>
    <w:rsid w:val="00E1187D"/>
    <w:rsid w:val="00E27DEA"/>
    <w:rsid w:val="00E41D8C"/>
    <w:rsid w:val="00E93CFF"/>
    <w:rsid w:val="00F2371A"/>
    <w:rsid w:val="00F26C19"/>
    <w:rsid w:val="00FA71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B2351BF"/>
  <w15:chartTrackingRefBased/>
  <w15:docId w15:val="{3CE00A26-13CE-E54C-AFB8-D2E0272E7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0C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0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30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259</Words>
  <Characters>1479</Characters>
  <Application>Microsoft Office Word</Application>
  <DocSecurity>0</DocSecurity>
  <Lines>12</Lines>
  <Paragraphs>3</Paragraphs>
  <ScaleCrop>false</ScaleCrop>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C Elser</dc:creator>
  <cp:keywords/>
  <dc:description/>
  <cp:lastModifiedBy>Holly C Elser</cp:lastModifiedBy>
  <cp:revision>1</cp:revision>
  <dcterms:created xsi:type="dcterms:W3CDTF">2021-03-14T00:47:00Z</dcterms:created>
  <dcterms:modified xsi:type="dcterms:W3CDTF">2021-03-14T00:47:00Z</dcterms:modified>
</cp:coreProperties>
</file>