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FE28" w14:textId="77777777" w:rsidR="002A7B1D" w:rsidRDefault="002A7B1D" w:rsidP="00DE2D81">
      <w:pPr>
        <w:pStyle w:val="Heading1"/>
      </w:pPr>
      <w:r>
        <w:t>The Impact of Voluntary Front of Pack Nutrition Labelling on Packaged Food Reformulation</w:t>
      </w:r>
    </w:p>
    <w:p w14:paraId="1F603D2B" w14:textId="77777777" w:rsidR="002A7B1D" w:rsidRDefault="002A7B1D" w:rsidP="002A7B1D"/>
    <w:p w14:paraId="4A175F08" w14:textId="0DCCA111" w:rsidR="0021534B" w:rsidRDefault="002A7B1D" w:rsidP="002A7B1D">
      <w:pPr>
        <w:pStyle w:val="Heading2"/>
      </w:pPr>
      <w:r>
        <w:t>S</w:t>
      </w:r>
      <w:r w:rsidR="00DA5828">
        <w:t>2</w:t>
      </w:r>
      <w:r>
        <w:t xml:space="preserve"> </w:t>
      </w:r>
      <w:r w:rsidR="0031255C">
        <w:t>Text</w:t>
      </w:r>
      <w:r>
        <w:t xml:space="preserve">: </w:t>
      </w:r>
      <w:r w:rsidR="003743D7">
        <w:t xml:space="preserve">Methodological Note on </w:t>
      </w:r>
      <w:r w:rsidR="00287A5B">
        <w:t>reconstituted foods/</w:t>
      </w:r>
      <w:r w:rsidR="003743D7">
        <w:t>“as-prepared” N</w:t>
      </w:r>
      <w:r w:rsidR="00F31D1F">
        <w:t>utrition Information Panels</w:t>
      </w:r>
      <w:r w:rsidR="009C44D7">
        <w:t>(N</w:t>
      </w:r>
      <w:r w:rsidR="003743D7">
        <w:t>IPs</w:t>
      </w:r>
      <w:r w:rsidR="009C44D7">
        <w:t>)</w:t>
      </w:r>
    </w:p>
    <w:p w14:paraId="7EC9BA74" w14:textId="185C290D" w:rsidR="00DF183C" w:rsidRPr="00DF183C" w:rsidRDefault="00DF183C" w:rsidP="00DF183C">
      <w:r>
        <w:t xml:space="preserve">This appendix discusses differences in the treatment of products that require reconstitution or preparation before consumption across datasets. </w:t>
      </w:r>
    </w:p>
    <w:p w14:paraId="4E8956B3" w14:textId="64FAA6B0" w:rsidR="00DF183C" w:rsidRPr="00DF183C" w:rsidRDefault="00DF183C" w:rsidP="00DF183C">
      <w:pPr>
        <w:pStyle w:val="Heading3"/>
      </w:pPr>
      <w:r>
        <w:t>FoodSwitch (Australia)</w:t>
      </w:r>
    </w:p>
    <w:p w14:paraId="13F80D8A" w14:textId="6151523A" w:rsidR="00DF183C" w:rsidRPr="001120C0" w:rsidRDefault="00DF183C" w:rsidP="001120C0">
      <w:r w:rsidRPr="001120C0">
        <w:t xml:space="preserve">FoodSwitch (AU) tracks whether NIPs are reported as “As-sold” or “As-prepared” when more than one NIP is reported on the product. Only 2.0% of products reported more than one NIP. For products that report only one NIP, the NIP reported on the packet is used, but the type </w:t>
      </w:r>
      <w:r w:rsidR="006D06F1">
        <w:t>could not</w:t>
      </w:r>
      <w:r w:rsidRPr="001120C0">
        <w:t xml:space="preserve"> be identified</w:t>
      </w:r>
      <w:r w:rsidR="006D06F1">
        <w:t xml:space="preserve"> by us</w:t>
      </w:r>
      <w:r w:rsidRPr="001120C0">
        <w:t xml:space="preserve">. In cases with </w:t>
      </w:r>
      <m:oMath>
        <m:r>
          <w:rPr>
            <w:rFonts w:ascii="Cambria Math" w:hAnsi="Cambria Math"/>
          </w:rPr>
          <m:t>≥</m:t>
        </m:r>
        <m:r>
          <m:rPr>
            <m:sty m:val="bi"/>
          </m:rPr>
          <w:rPr>
            <w:rFonts w:ascii="Cambria Math" w:hAnsi="Cambria Math"/>
          </w:rPr>
          <m:t>2</m:t>
        </m:r>
      </m:oMath>
      <w:r w:rsidRPr="001120C0">
        <w:t xml:space="preserve"> NIPs, the “as-prepared” NIP is used for consistency across types. The top 5 food groups with multiple NIPs are sauces (includes gravies), breakfast cereals, cake mixes, pasta, coffee &amp; tea, and rice. </w:t>
      </w:r>
    </w:p>
    <w:p w14:paraId="4753AB23" w14:textId="3CF465FD" w:rsidR="002017D6" w:rsidRDefault="002D29CA" w:rsidP="001120C0">
      <w:r>
        <w:t>C</w:t>
      </w:r>
      <w:r w:rsidR="00DF183C" w:rsidRPr="001120C0">
        <w:t xml:space="preserve">onsistent coding </w:t>
      </w:r>
      <w:r>
        <w:t xml:space="preserve">within FoodSwitch </w:t>
      </w:r>
      <w:r w:rsidR="00DF183C" w:rsidRPr="001120C0">
        <w:t xml:space="preserve">prevents biases </w:t>
      </w:r>
      <w:r>
        <w:t>in the coefficients due to the</w:t>
      </w:r>
      <w:r w:rsidR="00DF183C" w:rsidRPr="001120C0">
        <w:t xml:space="preserve"> fixed effects analyses from </w:t>
      </w:r>
      <w:r w:rsidR="00F834D6" w:rsidRPr="001120C0">
        <w:t>inconsistent</w:t>
      </w:r>
      <w:r w:rsidR="00DF183C" w:rsidRPr="001120C0">
        <w:t xml:space="preserve"> NIP information.</w:t>
      </w:r>
      <w:r>
        <w:t xml:space="preserve"> </w:t>
      </w:r>
      <w:r w:rsidR="006D06F1">
        <w:t xml:space="preserve">Further, standard errors are </w:t>
      </w:r>
      <w:r w:rsidR="000B7641">
        <w:t>smaller due to such consistent coding.</w:t>
      </w:r>
    </w:p>
    <w:p w14:paraId="4BC74BF4" w14:textId="4E5D450A" w:rsidR="001120C0" w:rsidRDefault="001120C0" w:rsidP="001120C0">
      <w:pPr>
        <w:pStyle w:val="Heading3"/>
      </w:pPr>
      <w:r>
        <w:t>Nutritrack (New Zealand)</w:t>
      </w:r>
    </w:p>
    <w:p w14:paraId="7DCA3DBC" w14:textId="77777777" w:rsidR="00BC31CF" w:rsidRDefault="00F273AA" w:rsidP="001120C0">
      <w:pPr>
        <w:rPr>
          <w:rFonts w:ascii="Calibri" w:eastAsia="Times New Roman" w:hAnsi="Calibri" w:cs="Calibri"/>
          <w:color w:val="000000"/>
        </w:rPr>
      </w:pPr>
      <w:r w:rsidRPr="00F273AA">
        <w:rPr>
          <w:rFonts w:ascii="Calibri" w:eastAsia="Times New Roman" w:hAnsi="Calibri" w:cs="Calibri"/>
          <w:color w:val="000000"/>
        </w:rPr>
        <w:t xml:space="preserve">A variable in the Nutritrack (NZ) dataset indicates if a product Nutrition Information Panel (NIP) reports the “as sold” product composition or the composition when reconstituted. The “as sold” composition data are the default in the database unless only reconstituted composition is reported on a product NIP. 4.6% of product NIPs report reconstituted composition. </w:t>
      </w:r>
    </w:p>
    <w:p w14:paraId="58438875" w14:textId="1F130BCE" w:rsidR="00DB00BF" w:rsidRDefault="00F273AA" w:rsidP="001120C0">
      <w:pPr>
        <w:rPr>
          <w:rFonts w:ascii="Calibri" w:eastAsia="Times New Roman" w:hAnsi="Calibri" w:cs="Calibri"/>
          <w:color w:val="000000"/>
        </w:rPr>
        <w:sectPr w:rsidR="00DB00BF">
          <w:pgSz w:w="11906" w:h="16838"/>
          <w:pgMar w:top="1440" w:right="1440" w:bottom="1440" w:left="1440" w:header="708" w:footer="708" w:gutter="0"/>
          <w:cols w:space="708"/>
          <w:docGrid w:linePitch="360"/>
        </w:sectPr>
      </w:pPr>
      <w:r w:rsidRPr="00F273AA">
        <w:rPr>
          <w:rFonts w:ascii="Calibri" w:eastAsia="Times New Roman" w:hAnsi="Calibri" w:cs="Calibri"/>
          <w:color w:val="000000"/>
        </w:rPr>
        <w:t xml:space="preserve">Of these foods, most are reconstituted with water. The top 10 foods groups with reconstituted nutrition data are: Dry soup mix, flavoured noodles, coffee, gravies or stocks, cordials, yogurt dry mix, tea, pasta, and cake mixes. Thus &gt;95% product nutrition information used in our analyses was for non-reconstituted products. Our results for NZ are </w:t>
      </w:r>
      <w:r w:rsidR="000D0F5C">
        <w:rPr>
          <w:rFonts w:ascii="Calibri" w:eastAsia="Times New Roman" w:hAnsi="Calibri" w:cs="Calibri"/>
          <w:color w:val="000000"/>
        </w:rPr>
        <w:t>largely</w:t>
      </w:r>
      <w:r w:rsidR="00692786">
        <w:rPr>
          <w:rFonts w:ascii="Calibri" w:eastAsia="Times New Roman" w:hAnsi="Calibri" w:cs="Calibri"/>
          <w:color w:val="000000"/>
        </w:rPr>
        <w:t xml:space="preserve"> unchanged</w:t>
      </w:r>
      <w:r w:rsidR="000D0F5C">
        <w:rPr>
          <w:rFonts w:ascii="Calibri" w:eastAsia="Times New Roman" w:hAnsi="Calibri" w:cs="Calibri"/>
          <w:color w:val="000000"/>
        </w:rPr>
        <w:t xml:space="preserve">, </w:t>
      </w:r>
      <w:r w:rsidR="00692786">
        <w:rPr>
          <w:rFonts w:ascii="Calibri" w:eastAsia="Times New Roman" w:hAnsi="Calibri" w:cs="Calibri"/>
          <w:color w:val="000000"/>
        </w:rPr>
        <w:t xml:space="preserve">when </w:t>
      </w:r>
      <w:r w:rsidRPr="00F273AA">
        <w:rPr>
          <w:rFonts w:ascii="Calibri" w:eastAsia="Times New Roman" w:hAnsi="Calibri" w:cs="Calibri"/>
          <w:color w:val="000000"/>
        </w:rPr>
        <w:t>removing such reconstituted foods</w:t>
      </w:r>
      <w:r w:rsidR="002D7BAC">
        <w:rPr>
          <w:rFonts w:ascii="Calibri" w:eastAsia="Times New Roman" w:hAnsi="Calibri" w:cs="Calibri"/>
          <w:color w:val="000000"/>
        </w:rPr>
        <w:t>, and the results on removing such foods are</w:t>
      </w:r>
      <w:r w:rsidR="00692786">
        <w:rPr>
          <w:rFonts w:ascii="Calibri" w:eastAsia="Times New Roman" w:hAnsi="Calibri" w:cs="Calibri"/>
          <w:color w:val="000000"/>
        </w:rPr>
        <w:t xml:space="preserve"> in </w:t>
      </w:r>
      <w:r w:rsidR="00692786">
        <w:rPr>
          <w:rFonts w:ascii="Calibri" w:eastAsia="Times New Roman" w:hAnsi="Calibri" w:cs="Calibri"/>
          <w:color w:val="000000"/>
        </w:rPr>
        <w:fldChar w:fldCharType="begin"/>
      </w:r>
      <w:r w:rsidR="00692786">
        <w:rPr>
          <w:rFonts w:ascii="Calibri" w:eastAsia="Times New Roman" w:hAnsi="Calibri" w:cs="Calibri"/>
          <w:color w:val="000000"/>
        </w:rPr>
        <w:instrText xml:space="preserve"> REF _Ref40802292 \h </w:instrText>
      </w:r>
      <w:r w:rsidR="00692786">
        <w:rPr>
          <w:rFonts w:ascii="Calibri" w:eastAsia="Times New Roman" w:hAnsi="Calibri" w:cs="Calibri"/>
          <w:color w:val="000000"/>
        </w:rPr>
      </w:r>
      <w:r w:rsidR="00692786">
        <w:rPr>
          <w:rFonts w:ascii="Calibri" w:eastAsia="Times New Roman" w:hAnsi="Calibri" w:cs="Calibri"/>
          <w:color w:val="000000"/>
        </w:rPr>
        <w:fldChar w:fldCharType="separate"/>
      </w:r>
      <w:r w:rsidR="00692786">
        <w:t xml:space="preserve">Table </w:t>
      </w:r>
      <w:r w:rsidR="00692786">
        <w:rPr>
          <w:noProof/>
        </w:rPr>
        <w:t>1</w:t>
      </w:r>
      <w:r w:rsidR="00692786">
        <w:rPr>
          <w:rFonts w:ascii="Calibri" w:eastAsia="Times New Roman" w:hAnsi="Calibri" w:cs="Calibri"/>
          <w:color w:val="000000"/>
        </w:rPr>
        <w:fldChar w:fldCharType="end"/>
      </w:r>
      <w:r w:rsidR="002D7BAC">
        <w:rPr>
          <w:rFonts w:ascii="Calibri" w:eastAsia="Times New Roman" w:hAnsi="Calibri" w:cs="Calibri"/>
          <w:color w:val="000000"/>
        </w:rPr>
        <w:t xml:space="preserve"> below:</w:t>
      </w:r>
    </w:p>
    <w:p w14:paraId="6B2E65C0" w14:textId="7E0671AA" w:rsidR="001120C0" w:rsidRDefault="001120C0" w:rsidP="001120C0">
      <w:pPr>
        <w:rPr>
          <w:rFonts w:ascii="Calibri" w:eastAsia="Times New Roman" w:hAnsi="Calibri" w:cs="Calibri"/>
          <w:color w:val="000000"/>
        </w:rPr>
      </w:pPr>
    </w:p>
    <w:p w14:paraId="624A8D74" w14:textId="6121756E" w:rsidR="00DB00BF" w:rsidRDefault="00DB00BF" w:rsidP="001120C0">
      <w:pPr>
        <w:rPr>
          <w:rFonts w:ascii="Calibri" w:eastAsia="Times New Roman" w:hAnsi="Calibri" w:cs="Calibri"/>
          <w:color w:val="000000"/>
        </w:rPr>
      </w:pPr>
    </w:p>
    <w:p w14:paraId="45EDBC5A" w14:textId="350A3F58" w:rsidR="00DB00BF" w:rsidRDefault="00FE3E19" w:rsidP="00FE3E19">
      <w:pPr>
        <w:pStyle w:val="Caption"/>
      </w:pPr>
      <w:r>
        <w:t xml:space="preserve">Table </w:t>
      </w:r>
      <w:r w:rsidR="0031255C">
        <w:fldChar w:fldCharType="begin"/>
      </w:r>
      <w:r w:rsidR="0031255C">
        <w:instrText xml:space="preserve"> SEQ Table \* ALPHABETIC </w:instrText>
      </w:r>
      <w:r w:rsidR="0031255C">
        <w:fldChar w:fldCharType="separate"/>
      </w:r>
      <w:r>
        <w:rPr>
          <w:noProof/>
        </w:rPr>
        <w:t>A</w:t>
      </w:r>
      <w:r w:rsidR="0031255C">
        <w:rPr>
          <w:noProof/>
        </w:rPr>
        <w:fldChar w:fldCharType="end"/>
      </w:r>
      <w:r>
        <w:t>: Results for Nutritrack (New Zealand), removing reconstituted foods.</w:t>
      </w:r>
    </w:p>
    <w:tbl>
      <w:tblPr>
        <w:tblW w:w="5090" w:type="pct"/>
        <w:tblLook w:val="0000" w:firstRow="0" w:lastRow="0" w:firstColumn="0" w:lastColumn="0" w:noHBand="0" w:noVBand="0"/>
      </w:tblPr>
      <w:tblGrid>
        <w:gridCol w:w="2071"/>
        <w:gridCol w:w="1784"/>
        <w:gridCol w:w="1897"/>
        <w:gridCol w:w="2342"/>
        <w:gridCol w:w="2006"/>
        <w:gridCol w:w="1897"/>
        <w:gridCol w:w="1897"/>
        <w:gridCol w:w="1781"/>
      </w:tblGrid>
      <w:tr w:rsidR="00DB00BF" w:rsidRPr="00DC7B7E" w14:paraId="75FAD16A" w14:textId="77777777" w:rsidTr="00DB00BF">
        <w:tc>
          <w:tcPr>
            <w:tcW w:w="661" w:type="pct"/>
            <w:tcBorders>
              <w:top w:val="nil"/>
              <w:left w:val="nil"/>
              <w:bottom w:val="nil"/>
              <w:right w:val="nil"/>
            </w:tcBorders>
          </w:tcPr>
          <w:p w14:paraId="13D4A898" w14:textId="77777777" w:rsidR="00DB00BF" w:rsidRPr="00DC7B7E" w:rsidRDefault="00DB00BF" w:rsidP="008F17A3"/>
        </w:tc>
        <w:tc>
          <w:tcPr>
            <w:tcW w:w="569" w:type="pct"/>
            <w:tcBorders>
              <w:top w:val="nil"/>
              <w:left w:val="nil"/>
              <w:bottom w:val="nil"/>
              <w:right w:val="nil"/>
            </w:tcBorders>
          </w:tcPr>
          <w:p w14:paraId="60547A27" w14:textId="77777777" w:rsidR="00DB00BF" w:rsidRPr="00DC7B7E" w:rsidRDefault="00DB00BF" w:rsidP="008F17A3">
            <w:r w:rsidRPr="00DC7B7E">
              <w:t>HSR Rating</w:t>
            </w:r>
          </w:p>
          <w:p w14:paraId="23DF0715" w14:textId="77777777" w:rsidR="00DB00BF" w:rsidRPr="00DC7B7E" w:rsidRDefault="00DB00BF" w:rsidP="008F17A3"/>
        </w:tc>
        <w:tc>
          <w:tcPr>
            <w:tcW w:w="605" w:type="pct"/>
            <w:tcBorders>
              <w:top w:val="nil"/>
              <w:left w:val="nil"/>
              <w:bottom w:val="nil"/>
              <w:right w:val="nil"/>
            </w:tcBorders>
          </w:tcPr>
          <w:p w14:paraId="3E1F6D19" w14:textId="77777777" w:rsidR="00DB00BF" w:rsidRPr="00DC7B7E" w:rsidRDefault="00DB00BF" w:rsidP="008F17A3">
            <w:r w:rsidRPr="00DC7B7E">
              <w:t>Energy</w:t>
            </w:r>
          </w:p>
        </w:tc>
        <w:tc>
          <w:tcPr>
            <w:tcW w:w="747" w:type="pct"/>
            <w:tcBorders>
              <w:top w:val="nil"/>
              <w:left w:val="nil"/>
              <w:bottom w:val="nil"/>
              <w:right w:val="nil"/>
            </w:tcBorders>
          </w:tcPr>
          <w:p w14:paraId="56A921F6" w14:textId="77777777" w:rsidR="00DB00BF" w:rsidRPr="00DC7B7E" w:rsidRDefault="00DB00BF" w:rsidP="008F17A3">
            <w:r w:rsidRPr="00DC7B7E">
              <w:t>Sodium</w:t>
            </w:r>
          </w:p>
        </w:tc>
        <w:tc>
          <w:tcPr>
            <w:tcW w:w="640" w:type="pct"/>
            <w:tcBorders>
              <w:top w:val="nil"/>
              <w:left w:val="nil"/>
              <w:bottom w:val="nil"/>
              <w:right w:val="nil"/>
            </w:tcBorders>
          </w:tcPr>
          <w:p w14:paraId="3188B7F4" w14:textId="77777777" w:rsidR="00DB00BF" w:rsidRPr="00DC7B7E" w:rsidRDefault="00DB00BF" w:rsidP="008F17A3">
            <w:r w:rsidRPr="00DC7B7E">
              <w:t>Sugar</w:t>
            </w:r>
          </w:p>
        </w:tc>
        <w:tc>
          <w:tcPr>
            <w:tcW w:w="605" w:type="pct"/>
            <w:tcBorders>
              <w:top w:val="nil"/>
              <w:left w:val="nil"/>
              <w:bottom w:val="nil"/>
              <w:right w:val="nil"/>
            </w:tcBorders>
          </w:tcPr>
          <w:p w14:paraId="6505E075" w14:textId="77777777" w:rsidR="00DB00BF" w:rsidRPr="00DC7B7E" w:rsidRDefault="00DB00BF" w:rsidP="008F17A3">
            <w:r w:rsidRPr="00DC7B7E">
              <w:t>Protein</w:t>
            </w:r>
          </w:p>
        </w:tc>
        <w:tc>
          <w:tcPr>
            <w:tcW w:w="605" w:type="pct"/>
            <w:tcBorders>
              <w:top w:val="nil"/>
              <w:left w:val="nil"/>
              <w:bottom w:val="nil"/>
              <w:right w:val="nil"/>
            </w:tcBorders>
          </w:tcPr>
          <w:p w14:paraId="2D80DA06" w14:textId="77777777" w:rsidR="00DB00BF" w:rsidRPr="00DC7B7E" w:rsidRDefault="00DB00BF" w:rsidP="008F17A3">
            <w:r w:rsidRPr="00DC7B7E">
              <w:t>Saturated Fat</w:t>
            </w:r>
          </w:p>
        </w:tc>
        <w:tc>
          <w:tcPr>
            <w:tcW w:w="568" w:type="pct"/>
            <w:tcBorders>
              <w:top w:val="nil"/>
              <w:left w:val="nil"/>
              <w:bottom w:val="nil"/>
              <w:right w:val="nil"/>
            </w:tcBorders>
          </w:tcPr>
          <w:p w14:paraId="4338D2C6" w14:textId="77777777" w:rsidR="00DB00BF" w:rsidRPr="00DC7B7E" w:rsidRDefault="00DB00BF" w:rsidP="008F17A3">
            <w:r w:rsidRPr="00DC7B7E">
              <w:t>Fibre</w:t>
            </w:r>
          </w:p>
        </w:tc>
      </w:tr>
      <w:tr w:rsidR="00DB00BF" w:rsidRPr="00DC7B7E" w14:paraId="78D9D823" w14:textId="77777777" w:rsidTr="00DB00BF">
        <w:tc>
          <w:tcPr>
            <w:tcW w:w="661" w:type="pct"/>
            <w:tcBorders>
              <w:top w:val="single" w:sz="4" w:space="0" w:color="auto"/>
              <w:left w:val="nil"/>
              <w:bottom w:val="nil"/>
              <w:right w:val="nil"/>
            </w:tcBorders>
          </w:tcPr>
          <w:p w14:paraId="3240C765" w14:textId="77777777" w:rsidR="00DB00BF" w:rsidRPr="00DC7B7E" w:rsidRDefault="00DB00BF" w:rsidP="008F17A3">
            <w:r w:rsidRPr="00DC7B7E">
              <w:t>HSR Treatment Effect</w:t>
            </w:r>
          </w:p>
        </w:tc>
        <w:tc>
          <w:tcPr>
            <w:tcW w:w="569" w:type="pct"/>
            <w:tcBorders>
              <w:top w:val="single" w:sz="4" w:space="0" w:color="auto"/>
              <w:left w:val="nil"/>
              <w:bottom w:val="nil"/>
              <w:right w:val="nil"/>
            </w:tcBorders>
          </w:tcPr>
          <w:p w14:paraId="7A2E3924" w14:textId="77777777" w:rsidR="00DB00BF" w:rsidRPr="00DC7B7E" w:rsidRDefault="00DB00BF" w:rsidP="008F17A3">
            <w:r w:rsidRPr="00DC7B7E">
              <w:t>0.07***</w:t>
            </w:r>
          </w:p>
        </w:tc>
        <w:tc>
          <w:tcPr>
            <w:tcW w:w="605" w:type="pct"/>
            <w:tcBorders>
              <w:top w:val="single" w:sz="4" w:space="0" w:color="auto"/>
              <w:left w:val="nil"/>
              <w:bottom w:val="nil"/>
              <w:right w:val="nil"/>
            </w:tcBorders>
          </w:tcPr>
          <w:p w14:paraId="5A5316E8" w14:textId="77777777" w:rsidR="00DB00BF" w:rsidRPr="00DC7B7E" w:rsidRDefault="00DB00BF" w:rsidP="008F17A3">
            <w:r w:rsidRPr="00DC7B7E">
              <w:t>-3.76+</w:t>
            </w:r>
          </w:p>
        </w:tc>
        <w:tc>
          <w:tcPr>
            <w:tcW w:w="747" w:type="pct"/>
            <w:tcBorders>
              <w:top w:val="single" w:sz="4" w:space="0" w:color="auto"/>
              <w:left w:val="nil"/>
              <w:bottom w:val="nil"/>
              <w:right w:val="nil"/>
            </w:tcBorders>
          </w:tcPr>
          <w:p w14:paraId="40A2B3CC" w14:textId="77777777" w:rsidR="00DB00BF" w:rsidRPr="00DC7B7E" w:rsidRDefault="00DB00BF" w:rsidP="008F17A3">
            <w:r w:rsidRPr="00DC7B7E">
              <w:t>-18.80***</w:t>
            </w:r>
          </w:p>
        </w:tc>
        <w:tc>
          <w:tcPr>
            <w:tcW w:w="640" w:type="pct"/>
            <w:tcBorders>
              <w:top w:val="single" w:sz="4" w:space="0" w:color="auto"/>
              <w:left w:val="nil"/>
              <w:bottom w:val="nil"/>
              <w:right w:val="nil"/>
            </w:tcBorders>
          </w:tcPr>
          <w:p w14:paraId="3CD87A11" w14:textId="77777777" w:rsidR="00DB00BF" w:rsidRPr="00DC7B7E" w:rsidRDefault="00DB00BF" w:rsidP="008F17A3">
            <w:r w:rsidRPr="00DC7B7E">
              <w:t>-0.28***</w:t>
            </w:r>
          </w:p>
        </w:tc>
        <w:tc>
          <w:tcPr>
            <w:tcW w:w="605" w:type="pct"/>
            <w:tcBorders>
              <w:top w:val="single" w:sz="4" w:space="0" w:color="auto"/>
              <w:left w:val="nil"/>
              <w:bottom w:val="nil"/>
              <w:right w:val="nil"/>
            </w:tcBorders>
          </w:tcPr>
          <w:p w14:paraId="57CFB9A9" w14:textId="77777777" w:rsidR="00DB00BF" w:rsidRPr="00DC7B7E" w:rsidRDefault="00DB00BF" w:rsidP="008F17A3">
            <w:r w:rsidRPr="00DC7B7E">
              <w:t>-0.04</w:t>
            </w:r>
          </w:p>
        </w:tc>
        <w:tc>
          <w:tcPr>
            <w:tcW w:w="605" w:type="pct"/>
            <w:tcBorders>
              <w:top w:val="single" w:sz="4" w:space="0" w:color="auto"/>
              <w:left w:val="nil"/>
              <w:bottom w:val="nil"/>
              <w:right w:val="nil"/>
            </w:tcBorders>
          </w:tcPr>
          <w:p w14:paraId="57128047" w14:textId="77777777" w:rsidR="00DB00BF" w:rsidRPr="00DC7B7E" w:rsidRDefault="00DB00BF" w:rsidP="008F17A3">
            <w:r w:rsidRPr="00DC7B7E">
              <w:t>-0.04</w:t>
            </w:r>
          </w:p>
        </w:tc>
        <w:tc>
          <w:tcPr>
            <w:tcW w:w="568" w:type="pct"/>
            <w:tcBorders>
              <w:top w:val="single" w:sz="4" w:space="0" w:color="auto"/>
              <w:left w:val="nil"/>
              <w:bottom w:val="nil"/>
              <w:right w:val="nil"/>
            </w:tcBorders>
          </w:tcPr>
          <w:p w14:paraId="7BD0159B" w14:textId="77777777" w:rsidR="00DB00BF" w:rsidRPr="00DC7B7E" w:rsidRDefault="00DB00BF" w:rsidP="008F17A3">
            <w:r w:rsidRPr="00DC7B7E">
              <w:t>0.04*</w:t>
            </w:r>
          </w:p>
        </w:tc>
      </w:tr>
      <w:tr w:rsidR="00DB00BF" w:rsidRPr="00DC7B7E" w14:paraId="67BE190C" w14:textId="77777777" w:rsidTr="00DB00BF">
        <w:tc>
          <w:tcPr>
            <w:tcW w:w="661" w:type="pct"/>
            <w:tcBorders>
              <w:top w:val="nil"/>
              <w:left w:val="nil"/>
              <w:bottom w:val="nil"/>
              <w:right w:val="nil"/>
            </w:tcBorders>
          </w:tcPr>
          <w:p w14:paraId="5845A83B" w14:textId="77777777" w:rsidR="00DB00BF" w:rsidRPr="00DC7B7E" w:rsidRDefault="00DB00BF" w:rsidP="008F17A3"/>
        </w:tc>
        <w:tc>
          <w:tcPr>
            <w:tcW w:w="569" w:type="pct"/>
            <w:tcBorders>
              <w:top w:val="nil"/>
              <w:left w:val="nil"/>
              <w:bottom w:val="nil"/>
              <w:right w:val="nil"/>
            </w:tcBorders>
          </w:tcPr>
          <w:p w14:paraId="0353C078" w14:textId="77777777" w:rsidR="00DB00BF" w:rsidRPr="00DC7B7E" w:rsidRDefault="00DB00BF" w:rsidP="008F17A3">
            <w:r w:rsidRPr="00DC7B7E">
              <w:t>[0.06,0.09]</w:t>
            </w:r>
          </w:p>
        </w:tc>
        <w:tc>
          <w:tcPr>
            <w:tcW w:w="605" w:type="pct"/>
            <w:tcBorders>
              <w:top w:val="nil"/>
              <w:left w:val="nil"/>
              <w:bottom w:val="nil"/>
              <w:right w:val="nil"/>
            </w:tcBorders>
          </w:tcPr>
          <w:p w14:paraId="3F0B77B0" w14:textId="77777777" w:rsidR="00DB00BF" w:rsidRPr="00DC7B7E" w:rsidRDefault="00DB00BF" w:rsidP="008F17A3">
            <w:r w:rsidRPr="00DC7B7E">
              <w:t>[-8.08,0.56]</w:t>
            </w:r>
          </w:p>
        </w:tc>
        <w:tc>
          <w:tcPr>
            <w:tcW w:w="747" w:type="pct"/>
            <w:tcBorders>
              <w:top w:val="nil"/>
              <w:left w:val="nil"/>
              <w:bottom w:val="nil"/>
              <w:right w:val="nil"/>
            </w:tcBorders>
          </w:tcPr>
          <w:p w14:paraId="35FB6857" w14:textId="77777777" w:rsidR="00DB00BF" w:rsidRPr="00DC7B7E" w:rsidRDefault="00DB00BF" w:rsidP="008F17A3">
            <w:r w:rsidRPr="00DC7B7E">
              <w:t>[-26.81,-10.80]</w:t>
            </w:r>
          </w:p>
        </w:tc>
        <w:tc>
          <w:tcPr>
            <w:tcW w:w="640" w:type="pct"/>
            <w:tcBorders>
              <w:top w:val="nil"/>
              <w:left w:val="nil"/>
              <w:bottom w:val="nil"/>
              <w:right w:val="nil"/>
            </w:tcBorders>
          </w:tcPr>
          <w:p w14:paraId="08DEB471" w14:textId="77777777" w:rsidR="00DB00BF" w:rsidRPr="00DC7B7E" w:rsidRDefault="00DB00BF" w:rsidP="008F17A3">
            <w:r w:rsidRPr="00DC7B7E">
              <w:t>[-0.40,-0.15]</w:t>
            </w:r>
          </w:p>
        </w:tc>
        <w:tc>
          <w:tcPr>
            <w:tcW w:w="605" w:type="pct"/>
            <w:tcBorders>
              <w:top w:val="nil"/>
              <w:left w:val="nil"/>
              <w:bottom w:val="nil"/>
              <w:right w:val="nil"/>
            </w:tcBorders>
          </w:tcPr>
          <w:p w14:paraId="62BCF691" w14:textId="77777777" w:rsidR="00DB00BF" w:rsidRPr="00DC7B7E" w:rsidRDefault="00DB00BF" w:rsidP="008F17A3">
            <w:r w:rsidRPr="00DC7B7E">
              <w:t>[-0.10,0.02]</w:t>
            </w:r>
          </w:p>
        </w:tc>
        <w:tc>
          <w:tcPr>
            <w:tcW w:w="605" w:type="pct"/>
            <w:tcBorders>
              <w:top w:val="nil"/>
              <w:left w:val="nil"/>
              <w:bottom w:val="nil"/>
              <w:right w:val="nil"/>
            </w:tcBorders>
          </w:tcPr>
          <w:p w14:paraId="064BF644" w14:textId="77777777" w:rsidR="00DB00BF" w:rsidRPr="00DC7B7E" w:rsidRDefault="00DB00BF" w:rsidP="008F17A3">
            <w:r w:rsidRPr="00DC7B7E">
              <w:t>[-0.09,0.02]</w:t>
            </w:r>
          </w:p>
        </w:tc>
        <w:tc>
          <w:tcPr>
            <w:tcW w:w="568" w:type="pct"/>
            <w:tcBorders>
              <w:top w:val="nil"/>
              <w:left w:val="nil"/>
              <w:bottom w:val="nil"/>
              <w:right w:val="nil"/>
            </w:tcBorders>
          </w:tcPr>
          <w:p w14:paraId="2B333D29" w14:textId="77777777" w:rsidR="00DB00BF" w:rsidRPr="00DC7B7E" w:rsidRDefault="00DB00BF" w:rsidP="008F17A3">
            <w:r w:rsidRPr="00DC7B7E">
              <w:t>[0.00,0.08]</w:t>
            </w:r>
          </w:p>
        </w:tc>
      </w:tr>
      <w:tr w:rsidR="00DB00BF" w:rsidRPr="00DC7B7E" w14:paraId="073EB950" w14:textId="77777777" w:rsidTr="00DB00BF">
        <w:tc>
          <w:tcPr>
            <w:tcW w:w="661" w:type="pct"/>
            <w:tcBorders>
              <w:top w:val="nil"/>
              <w:left w:val="nil"/>
              <w:bottom w:val="nil"/>
              <w:right w:val="nil"/>
            </w:tcBorders>
          </w:tcPr>
          <w:p w14:paraId="02D3C252" w14:textId="77777777" w:rsidR="00DB00BF" w:rsidRPr="00DC7B7E" w:rsidRDefault="00DB00BF" w:rsidP="008F17A3"/>
        </w:tc>
        <w:tc>
          <w:tcPr>
            <w:tcW w:w="569" w:type="pct"/>
            <w:tcBorders>
              <w:top w:val="nil"/>
              <w:left w:val="nil"/>
              <w:bottom w:val="nil"/>
              <w:right w:val="nil"/>
            </w:tcBorders>
          </w:tcPr>
          <w:p w14:paraId="10D278EB" w14:textId="77777777" w:rsidR="00DB00BF" w:rsidRPr="00DC7B7E" w:rsidRDefault="00DB00BF" w:rsidP="008F17A3"/>
        </w:tc>
        <w:tc>
          <w:tcPr>
            <w:tcW w:w="605" w:type="pct"/>
            <w:tcBorders>
              <w:top w:val="nil"/>
              <w:left w:val="nil"/>
              <w:bottom w:val="nil"/>
              <w:right w:val="nil"/>
            </w:tcBorders>
          </w:tcPr>
          <w:p w14:paraId="75757A87" w14:textId="77777777" w:rsidR="00DB00BF" w:rsidRPr="00DC7B7E" w:rsidRDefault="00DB00BF" w:rsidP="008F17A3"/>
        </w:tc>
        <w:tc>
          <w:tcPr>
            <w:tcW w:w="747" w:type="pct"/>
            <w:tcBorders>
              <w:top w:val="nil"/>
              <w:left w:val="nil"/>
              <w:bottom w:val="nil"/>
              <w:right w:val="nil"/>
            </w:tcBorders>
          </w:tcPr>
          <w:p w14:paraId="36EA95DD" w14:textId="77777777" w:rsidR="00DB00BF" w:rsidRPr="00DC7B7E" w:rsidRDefault="00DB00BF" w:rsidP="008F17A3"/>
        </w:tc>
        <w:tc>
          <w:tcPr>
            <w:tcW w:w="640" w:type="pct"/>
            <w:tcBorders>
              <w:top w:val="nil"/>
              <w:left w:val="nil"/>
              <w:bottom w:val="nil"/>
              <w:right w:val="nil"/>
            </w:tcBorders>
          </w:tcPr>
          <w:p w14:paraId="60840CD6" w14:textId="77777777" w:rsidR="00DB00BF" w:rsidRPr="00DC7B7E" w:rsidRDefault="00DB00BF" w:rsidP="008F17A3"/>
        </w:tc>
        <w:tc>
          <w:tcPr>
            <w:tcW w:w="605" w:type="pct"/>
            <w:tcBorders>
              <w:top w:val="nil"/>
              <w:left w:val="nil"/>
              <w:bottom w:val="nil"/>
              <w:right w:val="nil"/>
            </w:tcBorders>
          </w:tcPr>
          <w:p w14:paraId="44ED4782" w14:textId="77777777" w:rsidR="00DB00BF" w:rsidRPr="00DC7B7E" w:rsidRDefault="00DB00BF" w:rsidP="008F17A3"/>
        </w:tc>
        <w:tc>
          <w:tcPr>
            <w:tcW w:w="605" w:type="pct"/>
            <w:tcBorders>
              <w:top w:val="nil"/>
              <w:left w:val="nil"/>
              <w:bottom w:val="nil"/>
              <w:right w:val="nil"/>
            </w:tcBorders>
          </w:tcPr>
          <w:p w14:paraId="5DDD10EE" w14:textId="77777777" w:rsidR="00DB00BF" w:rsidRPr="00DC7B7E" w:rsidRDefault="00DB00BF" w:rsidP="008F17A3"/>
        </w:tc>
        <w:tc>
          <w:tcPr>
            <w:tcW w:w="568" w:type="pct"/>
            <w:tcBorders>
              <w:top w:val="nil"/>
              <w:left w:val="nil"/>
              <w:bottom w:val="nil"/>
              <w:right w:val="nil"/>
            </w:tcBorders>
          </w:tcPr>
          <w:p w14:paraId="04DF57FA" w14:textId="77777777" w:rsidR="00DB00BF" w:rsidRPr="00DC7B7E" w:rsidRDefault="00DB00BF" w:rsidP="008F17A3"/>
        </w:tc>
      </w:tr>
      <w:tr w:rsidR="00DB00BF" w:rsidRPr="00DC7B7E" w14:paraId="72CDFEB7" w14:textId="77777777" w:rsidTr="00DB00BF">
        <w:tc>
          <w:tcPr>
            <w:tcW w:w="661" w:type="pct"/>
            <w:tcBorders>
              <w:top w:val="nil"/>
              <w:left w:val="nil"/>
              <w:bottom w:val="single" w:sz="4" w:space="0" w:color="auto"/>
              <w:right w:val="nil"/>
            </w:tcBorders>
          </w:tcPr>
          <w:p w14:paraId="0C57DAFA" w14:textId="77777777" w:rsidR="00DB00BF" w:rsidRPr="00DC7B7E" w:rsidRDefault="00DB00BF" w:rsidP="008F17A3">
            <w:r w:rsidRPr="00DC7B7E">
              <w:t>Observations</w:t>
            </w:r>
          </w:p>
        </w:tc>
        <w:tc>
          <w:tcPr>
            <w:tcW w:w="569" w:type="pct"/>
            <w:tcBorders>
              <w:top w:val="nil"/>
              <w:left w:val="nil"/>
              <w:bottom w:val="single" w:sz="4" w:space="0" w:color="auto"/>
              <w:right w:val="nil"/>
            </w:tcBorders>
          </w:tcPr>
          <w:p w14:paraId="2178630B" w14:textId="77777777" w:rsidR="00DB00BF" w:rsidRPr="00DC7B7E" w:rsidRDefault="00DB00BF" w:rsidP="008F17A3">
            <w:r w:rsidRPr="00DC7B7E">
              <w:t>85807</w:t>
            </w:r>
          </w:p>
        </w:tc>
        <w:tc>
          <w:tcPr>
            <w:tcW w:w="605" w:type="pct"/>
            <w:tcBorders>
              <w:top w:val="nil"/>
              <w:left w:val="nil"/>
              <w:bottom w:val="single" w:sz="4" w:space="0" w:color="auto"/>
              <w:right w:val="nil"/>
            </w:tcBorders>
          </w:tcPr>
          <w:p w14:paraId="227C55A5" w14:textId="77777777" w:rsidR="00DB00BF" w:rsidRPr="00DC7B7E" w:rsidRDefault="00DB00BF" w:rsidP="008F17A3">
            <w:r w:rsidRPr="00DC7B7E">
              <w:t>88785</w:t>
            </w:r>
          </w:p>
        </w:tc>
        <w:tc>
          <w:tcPr>
            <w:tcW w:w="747" w:type="pct"/>
            <w:tcBorders>
              <w:top w:val="nil"/>
              <w:left w:val="nil"/>
              <w:bottom w:val="single" w:sz="4" w:space="0" w:color="auto"/>
              <w:right w:val="nil"/>
            </w:tcBorders>
          </w:tcPr>
          <w:p w14:paraId="16EE5AB5" w14:textId="77777777" w:rsidR="00DB00BF" w:rsidRPr="00DC7B7E" w:rsidRDefault="00DB00BF" w:rsidP="008F17A3">
            <w:r w:rsidRPr="00DC7B7E">
              <w:t>88329</w:t>
            </w:r>
          </w:p>
        </w:tc>
        <w:tc>
          <w:tcPr>
            <w:tcW w:w="640" w:type="pct"/>
            <w:tcBorders>
              <w:top w:val="nil"/>
              <w:left w:val="nil"/>
              <w:bottom w:val="single" w:sz="4" w:space="0" w:color="auto"/>
              <w:right w:val="nil"/>
            </w:tcBorders>
          </w:tcPr>
          <w:p w14:paraId="511A9B55" w14:textId="77777777" w:rsidR="00DB00BF" w:rsidRPr="00DC7B7E" w:rsidRDefault="00DB00BF" w:rsidP="008F17A3">
            <w:r w:rsidRPr="00DC7B7E">
              <w:t>88066</w:t>
            </w:r>
          </w:p>
        </w:tc>
        <w:tc>
          <w:tcPr>
            <w:tcW w:w="605" w:type="pct"/>
            <w:tcBorders>
              <w:top w:val="nil"/>
              <w:left w:val="nil"/>
              <w:bottom w:val="single" w:sz="4" w:space="0" w:color="auto"/>
              <w:right w:val="nil"/>
            </w:tcBorders>
          </w:tcPr>
          <w:p w14:paraId="04C5F3F5" w14:textId="77777777" w:rsidR="00DB00BF" w:rsidRPr="00DC7B7E" w:rsidRDefault="00DB00BF" w:rsidP="008F17A3">
            <w:r w:rsidRPr="00DC7B7E">
              <w:t>88785</w:t>
            </w:r>
          </w:p>
        </w:tc>
        <w:tc>
          <w:tcPr>
            <w:tcW w:w="605" w:type="pct"/>
            <w:tcBorders>
              <w:top w:val="nil"/>
              <w:left w:val="nil"/>
              <w:bottom w:val="single" w:sz="4" w:space="0" w:color="auto"/>
              <w:right w:val="nil"/>
            </w:tcBorders>
          </w:tcPr>
          <w:p w14:paraId="392CBCF2" w14:textId="77777777" w:rsidR="00DB00BF" w:rsidRPr="00DC7B7E" w:rsidRDefault="00DB00BF" w:rsidP="008F17A3">
            <w:r w:rsidRPr="00DC7B7E">
              <w:t>88810</w:t>
            </w:r>
          </w:p>
        </w:tc>
        <w:tc>
          <w:tcPr>
            <w:tcW w:w="568" w:type="pct"/>
            <w:tcBorders>
              <w:top w:val="nil"/>
              <w:left w:val="nil"/>
              <w:bottom w:val="single" w:sz="4" w:space="0" w:color="auto"/>
              <w:right w:val="nil"/>
            </w:tcBorders>
          </w:tcPr>
          <w:p w14:paraId="04595993" w14:textId="77777777" w:rsidR="00DB00BF" w:rsidRPr="00DC7B7E" w:rsidRDefault="00DB00BF" w:rsidP="008F17A3">
            <w:r w:rsidRPr="00DC7B7E">
              <w:t>90621</w:t>
            </w:r>
          </w:p>
        </w:tc>
      </w:tr>
    </w:tbl>
    <w:p w14:paraId="63B1BA06" w14:textId="77777777" w:rsidR="00DB00BF" w:rsidRPr="00DC7B7E" w:rsidRDefault="00DB00BF" w:rsidP="00DB00BF">
      <w:r w:rsidRPr="00DC7B7E">
        <w:t>95% confidence intervals in brackets</w:t>
      </w:r>
    </w:p>
    <w:p w14:paraId="343A68A6" w14:textId="77777777" w:rsidR="00DB00BF" w:rsidRPr="00DC7B7E" w:rsidRDefault="00DB00BF" w:rsidP="00DB00BF">
      <w:r w:rsidRPr="00DC7B7E">
        <w:t>+ p &lt; 0.10, * p &lt; 0.05, ** p &lt; 0.01, *** p &lt; 0.001</w:t>
      </w:r>
    </w:p>
    <w:p w14:paraId="5BA2E915" w14:textId="77777777" w:rsidR="00DB00BF" w:rsidRDefault="00DB00BF" w:rsidP="001120C0">
      <w:pPr>
        <w:rPr>
          <w:rFonts w:ascii="Calibri" w:eastAsia="Times New Roman" w:hAnsi="Calibri" w:cs="Calibri"/>
          <w:color w:val="000000"/>
        </w:rPr>
      </w:pPr>
    </w:p>
    <w:p w14:paraId="03BA66FA" w14:textId="77777777" w:rsidR="002D7BAC" w:rsidRPr="001120C0" w:rsidRDefault="002D7BAC" w:rsidP="001120C0"/>
    <w:sectPr w:rsidR="002D7BAC" w:rsidRPr="001120C0" w:rsidSect="00DB00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E3118"/>
    <w:multiLevelType w:val="hybridMultilevel"/>
    <w:tmpl w:val="FCE45132"/>
    <w:lvl w:ilvl="0" w:tplc="4CF49328">
      <w:start w:val="1"/>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F552A1"/>
    <w:multiLevelType w:val="hybridMultilevel"/>
    <w:tmpl w:val="8118E152"/>
    <w:lvl w:ilvl="0" w:tplc="A582DF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MTKzNLAwMDQ1MzVX0lEKTi0uzszPAykwNKwFAKMJcEAtAAAA"/>
  </w:docVars>
  <w:rsids>
    <w:rsidRoot w:val="00AD72D6"/>
    <w:rsid w:val="00015119"/>
    <w:rsid w:val="00067EE2"/>
    <w:rsid w:val="000B7641"/>
    <w:rsid w:val="000D0F5C"/>
    <w:rsid w:val="0010132C"/>
    <w:rsid w:val="001120C0"/>
    <w:rsid w:val="002017D6"/>
    <w:rsid w:val="0021534B"/>
    <w:rsid w:val="00226B5E"/>
    <w:rsid w:val="00263501"/>
    <w:rsid w:val="00287A5B"/>
    <w:rsid w:val="002A7B1D"/>
    <w:rsid w:val="002C499A"/>
    <w:rsid w:val="002D29CA"/>
    <w:rsid w:val="002D7BAC"/>
    <w:rsid w:val="00300B19"/>
    <w:rsid w:val="0031255C"/>
    <w:rsid w:val="00320C48"/>
    <w:rsid w:val="003743D7"/>
    <w:rsid w:val="00397E63"/>
    <w:rsid w:val="00450F98"/>
    <w:rsid w:val="0048080E"/>
    <w:rsid w:val="005D54A9"/>
    <w:rsid w:val="00692786"/>
    <w:rsid w:val="006C275C"/>
    <w:rsid w:val="006D06F1"/>
    <w:rsid w:val="006E59E4"/>
    <w:rsid w:val="006E66C9"/>
    <w:rsid w:val="00747DC6"/>
    <w:rsid w:val="008A235C"/>
    <w:rsid w:val="00964FE1"/>
    <w:rsid w:val="009C44D7"/>
    <w:rsid w:val="009F1739"/>
    <w:rsid w:val="00A05385"/>
    <w:rsid w:val="00A873A7"/>
    <w:rsid w:val="00AD72D6"/>
    <w:rsid w:val="00AD7889"/>
    <w:rsid w:val="00B7762D"/>
    <w:rsid w:val="00B965C5"/>
    <w:rsid w:val="00BC31CF"/>
    <w:rsid w:val="00BD25D8"/>
    <w:rsid w:val="00C07265"/>
    <w:rsid w:val="00D14D6E"/>
    <w:rsid w:val="00D8150C"/>
    <w:rsid w:val="00D92CFE"/>
    <w:rsid w:val="00DA5828"/>
    <w:rsid w:val="00DB00BF"/>
    <w:rsid w:val="00DC00F7"/>
    <w:rsid w:val="00DE2D81"/>
    <w:rsid w:val="00DF183C"/>
    <w:rsid w:val="00EE589E"/>
    <w:rsid w:val="00F273AA"/>
    <w:rsid w:val="00F31D1F"/>
    <w:rsid w:val="00F70009"/>
    <w:rsid w:val="00F834D6"/>
    <w:rsid w:val="00F85696"/>
    <w:rsid w:val="00FE3E19"/>
    <w:rsid w:val="00FE4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6BEF"/>
  <w15:chartTrackingRefBased/>
  <w15:docId w15:val="{709C18FB-C387-4EF2-81D9-E373F472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B1D"/>
    <w:pPr>
      <w:spacing w:before="180" w:after="180" w:line="240" w:lineRule="auto"/>
    </w:pPr>
    <w:rPr>
      <w:sz w:val="24"/>
      <w:szCs w:val="24"/>
    </w:rPr>
  </w:style>
  <w:style w:type="paragraph" w:styleId="Heading1">
    <w:name w:val="heading 1"/>
    <w:basedOn w:val="Normal"/>
    <w:next w:val="Normal"/>
    <w:link w:val="Heading1Char"/>
    <w:uiPriority w:val="9"/>
    <w:qFormat/>
    <w:rsid w:val="002A7B1D"/>
    <w:pPr>
      <w:keepNext/>
      <w:keepLines/>
      <w:spacing w:before="480" w:after="0"/>
      <w:outlineLvl w:val="0"/>
    </w:pPr>
    <w:rPr>
      <w:rFonts w:asciiTheme="majorHAnsi" w:eastAsiaTheme="majorEastAsia" w:hAnsiTheme="majorHAnsi" w:cstheme="majorBidi"/>
      <w:b/>
      <w:bCs/>
      <w:color w:val="2D4F8E" w:themeColor="accent1" w:themeShade="B5"/>
      <w:sz w:val="36"/>
      <w:szCs w:val="36"/>
    </w:rPr>
  </w:style>
  <w:style w:type="paragraph" w:styleId="Heading2">
    <w:name w:val="heading 2"/>
    <w:basedOn w:val="Normal"/>
    <w:next w:val="Normal"/>
    <w:link w:val="Heading2Char"/>
    <w:uiPriority w:val="9"/>
    <w:unhideWhenUsed/>
    <w:qFormat/>
    <w:rsid w:val="002A7B1D"/>
    <w:pPr>
      <w:keepNext/>
      <w:keepLines/>
      <w:spacing w:before="200" w:after="0"/>
      <w:outlineLvl w:val="1"/>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2A7B1D"/>
    <w:pPr>
      <w:keepNext/>
      <w:keepLines/>
      <w:numPr>
        <w:numId w:val="1"/>
      </w:numPr>
      <w:spacing w:before="200" w:after="0"/>
      <w:outlineLvl w:val="2"/>
    </w:pPr>
    <w:rPr>
      <w:rFonts w:asciiTheme="majorHAnsi" w:eastAsiaTheme="majorEastAsia" w:hAnsiTheme="majorHAnsi" w:cstheme="majorBidi"/>
      <w:b/>
      <w:bCs/>
      <w:color w:val="4472C4" w:themeColor="accent1"/>
      <w:sz w:val="28"/>
      <w:szCs w:val="28"/>
    </w:rPr>
  </w:style>
  <w:style w:type="paragraph" w:styleId="Heading4">
    <w:name w:val="heading 4"/>
    <w:basedOn w:val="Normal"/>
    <w:next w:val="Normal"/>
    <w:link w:val="Heading4Char"/>
    <w:uiPriority w:val="9"/>
    <w:unhideWhenUsed/>
    <w:qFormat/>
    <w:rsid w:val="002153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1D"/>
    <w:rPr>
      <w:rFonts w:asciiTheme="majorHAnsi" w:eastAsiaTheme="majorEastAsia" w:hAnsiTheme="majorHAnsi" w:cstheme="majorBidi"/>
      <w:b/>
      <w:bCs/>
      <w:color w:val="2D4F8E" w:themeColor="accent1" w:themeShade="B5"/>
      <w:sz w:val="36"/>
      <w:szCs w:val="36"/>
    </w:rPr>
  </w:style>
  <w:style w:type="character" w:customStyle="1" w:styleId="Heading2Char">
    <w:name w:val="Heading 2 Char"/>
    <w:basedOn w:val="DefaultParagraphFont"/>
    <w:link w:val="Heading2"/>
    <w:uiPriority w:val="9"/>
    <w:rsid w:val="002A7B1D"/>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2A7B1D"/>
    <w:rPr>
      <w:rFonts w:asciiTheme="majorHAnsi" w:eastAsiaTheme="majorEastAsia" w:hAnsiTheme="majorHAnsi" w:cstheme="majorBidi"/>
      <w:b/>
      <w:bCs/>
      <w:color w:val="4472C4" w:themeColor="accent1"/>
      <w:sz w:val="28"/>
      <w:szCs w:val="28"/>
    </w:rPr>
  </w:style>
  <w:style w:type="character" w:customStyle="1" w:styleId="Heading4Char">
    <w:name w:val="Heading 4 Char"/>
    <w:basedOn w:val="DefaultParagraphFont"/>
    <w:link w:val="Heading4"/>
    <w:uiPriority w:val="9"/>
    <w:rsid w:val="0021534B"/>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DA582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2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97E63"/>
  </w:style>
  <w:style w:type="paragraph" w:styleId="ListParagraph">
    <w:name w:val="List Paragraph"/>
    <w:basedOn w:val="Normal"/>
    <w:link w:val="ListParagraphChar"/>
    <w:uiPriority w:val="34"/>
    <w:qFormat/>
    <w:rsid w:val="00397E63"/>
    <w:pPr>
      <w:spacing w:before="0" w:after="160" w:line="256" w:lineRule="auto"/>
      <w:ind w:left="720"/>
      <w:contextualSpacing/>
    </w:pPr>
    <w:rPr>
      <w:sz w:val="22"/>
      <w:szCs w:val="22"/>
    </w:rPr>
  </w:style>
  <w:style w:type="paragraph" w:styleId="Caption">
    <w:name w:val="caption"/>
    <w:basedOn w:val="Normal"/>
    <w:next w:val="Normal"/>
    <w:uiPriority w:val="35"/>
    <w:unhideWhenUsed/>
    <w:qFormat/>
    <w:rsid w:val="00DB00BF"/>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8B5E-07FA-4F71-B274-4EC4EC06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Laxman Bablani</dc:creator>
  <cp:keywords/>
  <dc:description/>
  <cp:lastModifiedBy>Laxman Bablani</cp:lastModifiedBy>
  <cp:revision>37</cp:revision>
  <dcterms:created xsi:type="dcterms:W3CDTF">2020-05-19T04:56:00Z</dcterms:created>
  <dcterms:modified xsi:type="dcterms:W3CDTF">2020-10-12T00:35:00Z</dcterms:modified>
</cp:coreProperties>
</file>