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8B" w:rsidRPr="003C5540" w:rsidRDefault="00B0668B" w:rsidP="00B0668B">
      <w:pPr>
        <w:rPr>
          <w:rFonts w:ascii="Arial" w:hAnsi="Arial" w:cs="Arial"/>
          <w:sz w:val="20"/>
          <w:szCs w:val="18"/>
        </w:rPr>
      </w:pPr>
      <w:r w:rsidRPr="003C5540">
        <w:rPr>
          <w:rFonts w:ascii="Arial" w:hAnsi="Arial" w:cs="Arial"/>
          <w:b/>
          <w:sz w:val="20"/>
          <w:szCs w:val="18"/>
        </w:rPr>
        <w:t>S</w:t>
      </w:r>
      <w:r>
        <w:rPr>
          <w:rFonts w:ascii="Arial" w:hAnsi="Arial" w:cs="Arial"/>
          <w:b/>
          <w:sz w:val="20"/>
          <w:szCs w:val="18"/>
        </w:rPr>
        <w:t>4</w:t>
      </w:r>
      <w:bookmarkStart w:id="0" w:name="_GoBack"/>
      <w:bookmarkEnd w:id="0"/>
      <w:r w:rsidRPr="003C5540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T</w:t>
      </w:r>
      <w:r w:rsidRPr="003C5540">
        <w:rPr>
          <w:rFonts w:ascii="Arial" w:hAnsi="Arial" w:cs="Arial"/>
          <w:b/>
          <w:sz w:val="20"/>
          <w:szCs w:val="18"/>
        </w:rPr>
        <w:t>able.</w:t>
      </w:r>
      <w:r w:rsidRPr="003C5540">
        <w:rPr>
          <w:rFonts w:ascii="Arial" w:hAnsi="Arial" w:cs="Arial"/>
          <w:sz w:val="20"/>
          <w:szCs w:val="18"/>
        </w:rPr>
        <w:t xml:space="preserve"> Total and subgroup</w:t>
      </w:r>
      <w:r>
        <w:rPr>
          <w:rFonts w:ascii="Arial" w:hAnsi="Arial" w:cs="Arial"/>
          <w:sz w:val="20"/>
          <w:szCs w:val="18"/>
        </w:rPr>
        <w:t>-</w:t>
      </w:r>
      <w:r w:rsidRPr="003C5540">
        <w:rPr>
          <w:rFonts w:ascii="Arial" w:hAnsi="Arial" w:cs="Arial"/>
          <w:sz w:val="20"/>
          <w:szCs w:val="18"/>
        </w:rPr>
        <w:t xml:space="preserve">specific </w:t>
      </w:r>
      <w:r>
        <w:rPr>
          <w:rFonts w:ascii="Arial" w:hAnsi="Arial" w:cs="Arial"/>
          <w:sz w:val="20"/>
          <w:szCs w:val="18"/>
        </w:rPr>
        <w:t xml:space="preserve">IHD incidence (%) </w:t>
      </w:r>
      <w:r w:rsidRPr="003C5540">
        <w:rPr>
          <w:rFonts w:ascii="Arial" w:hAnsi="Arial" w:cs="Arial"/>
          <w:sz w:val="20"/>
          <w:szCs w:val="18"/>
        </w:rPr>
        <w:t>per year of age</w:t>
      </w: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6"/>
        <w:gridCol w:w="1116"/>
        <w:gridCol w:w="829"/>
        <w:gridCol w:w="829"/>
        <w:gridCol w:w="829"/>
        <w:gridCol w:w="829"/>
        <w:gridCol w:w="829"/>
        <w:gridCol w:w="236"/>
        <w:gridCol w:w="950"/>
        <w:gridCol w:w="1028"/>
        <w:gridCol w:w="1607"/>
        <w:gridCol w:w="8"/>
      </w:tblGrid>
      <w:tr w:rsidR="00B0668B" w:rsidRPr="00616586" w:rsidTr="002B25BB">
        <w:trPr>
          <w:gridAfter w:val="1"/>
          <w:wAfter w:w="8" w:type="dxa"/>
        </w:trPr>
        <w:tc>
          <w:tcPr>
            <w:tcW w:w="839" w:type="dxa"/>
            <w:tcBorders>
              <w:top w:val="single" w:sz="4" w:space="0" w:color="auto"/>
            </w:tcBorders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SEIFA Quintile</w:t>
            </w:r>
            <w:r w:rsidRPr="00616586">
              <w:rPr>
                <w:rFonts w:ascii="Arial" w:hAnsi="Arial" w:cs="Arial"/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231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Remoteness</w:t>
            </w:r>
            <w:r w:rsidRPr="006165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0668B" w:rsidRPr="00616586" w:rsidTr="002B25BB">
        <w:trPr>
          <w:gridAfter w:val="1"/>
          <w:wAfter w:w="8" w:type="dxa"/>
        </w:trPr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Age</w:t>
            </w:r>
            <w:r>
              <w:rPr>
                <w:rFonts w:ascii="Arial" w:hAnsi="Arial" w:cs="Arial"/>
                <w:sz w:val="18"/>
                <w:szCs w:val="18"/>
              </w:rPr>
              <w:t xml:space="preserve"> (y)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Total population</w:t>
            </w:r>
            <w:r w:rsidRPr="006165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Major cities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Inner regional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Outer regional, remote, &amp; very remote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Women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1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3.81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4.32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4.93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5.62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6.39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7.26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7.95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8.22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9.24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9.01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12.57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10.34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10.61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11.51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12.93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14.63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13.46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12.34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12.75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14.27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14.85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12.98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17.11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14.08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2.29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4.14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4.67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5.23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5.81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6.45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7.14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7.82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7.89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8.54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9.56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10.17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10.86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10.17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10.51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11.23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10.51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12.14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11.32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10.60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10.19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10.43</w:t>
            </w:r>
          </w:p>
        </w:tc>
      </w:tr>
      <w:tr w:rsidR="00B0668B" w:rsidRPr="00616586" w:rsidTr="002B25BB">
        <w:trPr>
          <w:gridAfter w:val="1"/>
          <w:wAfter w:w="8" w:type="dxa"/>
          <w:trHeight w:val="170"/>
        </w:trPr>
        <w:tc>
          <w:tcPr>
            <w:tcW w:w="839" w:type="dxa"/>
            <w:vAlign w:val="bottom"/>
          </w:tcPr>
          <w:p w:rsidR="00B0668B" w:rsidRPr="00616586" w:rsidRDefault="00B0668B" w:rsidP="002B25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9.68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9.41</w:t>
            </w:r>
          </w:p>
        </w:tc>
        <w:tc>
          <w:tcPr>
            <w:tcW w:w="829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231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9.91</w:t>
            </w:r>
          </w:p>
        </w:tc>
        <w:tc>
          <w:tcPr>
            <w:tcW w:w="102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1608" w:type="dxa"/>
            <w:vAlign w:val="bottom"/>
          </w:tcPr>
          <w:p w:rsidR="00B0668B" w:rsidRPr="00616586" w:rsidRDefault="00B0668B" w:rsidP="002B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58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B0668B" w:rsidRPr="00616586" w:rsidTr="002B25BB">
        <w:trPr>
          <w:trHeight w:val="1752"/>
        </w:trPr>
        <w:tc>
          <w:tcPr>
            <w:tcW w:w="10824" w:type="dxa"/>
            <w:gridSpan w:val="13"/>
            <w:tcBorders>
              <w:top w:val="single" w:sz="4" w:space="0" w:color="auto"/>
            </w:tcBorders>
          </w:tcPr>
          <w:p w:rsidR="00B0668B" w:rsidRPr="00616586" w:rsidRDefault="00B0668B" w:rsidP="002B25BB">
            <w:pPr>
              <w:rPr>
                <w:rFonts w:ascii="Arial" w:hAnsi="Arial" w:cs="Arial"/>
                <w:sz w:val="18"/>
                <w:szCs w:val="18"/>
              </w:rPr>
            </w:pPr>
            <w:r w:rsidRPr="006165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16586">
              <w:rPr>
                <w:rFonts w:ascii="Arial" w:hAnsi="Arial" w:cs="Arial"/>
                <w:sz w:val="18"/>
                <w:szCs w:val="18"/>
              </w:rPr>
              <w:t xml:space="preserve">Data retrieved from </w:t>
            </w:r>
            <w:r w:rsidRPr="001A0A8A">
              <w:rPr>
                <w:rFonts w:ascii="Arial" w:hAnsi="Arial" w:cs="Arial"/>
                <w:sz w:val="18"/>
                <w:szCs w:val="18"/>
              </w:rPr>
              <w:t>Global burden of disease project 2010</w:t>
            </w:r>
            <w:r w:rsidRPr="0061658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165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16586">
              <w:rPr>
                <w:rFonts w:ascii="Arial" w:hAnsi="Arial" w:cs="Arial"/>
                <w:sz w:val="18"/>
                <w:szCs w:val="18"/>
              </w:rPr>
              <w:t xml:space="preserve">Quintiles defined according to the Index of Relative Socio-Economic Disadvantage of the Socio-Economic Indexes for Areas (SEIFA). </w:t>
            </w:r>
            <w:r w:rsidRPr="006165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Cardivascular disease hospitalisation rates </w:t>
            </w:r>
            <w:r w:rsidRPr="00616586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total population and in </w:t>
            </w:r>
            <w:r w:rsidRPr="00616586">
              <w:rPr>
                <w:rFonts w:ascii="Arial" w:hAnsi="Arial" w:cs="Arial"/>
                <w:sz w:val="18"/>
                <w:szCs w:val="18"/>
              </w:rPr>
              <w:t xml:space="preserve">each remoteness or socioeconomic subgroup were retrieved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A0A8A">
              <w:rPr>
                <w:rFonts w:ascii="Arial" w:hAnsi="Arial" w:cs="Arial"/>
                <w:i/>
                <w:sz w:val="18"/>
                <w:szCs w:val="18"/>
              </w:rPr>
              <w:t>AIHW Cardiovascular disease web pages data tables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A0A8A">
              <w:rPr>
                <w:rFonts w:ascii="Arial" w:hAnsi="Arial" w:cs="Arial"/>
                <w:sz w:val="18"/>
                <w:szCs w:val="18"/>
              </w:rPr>
              <w:t xml:space="preserve">https://www.aihw.gov.au/getmedia/0c4fd299-edc6-40f5-b5e1-69d48c9c9648/cvd-ccc2016-20409.xls.aspx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1A0A8A">
              <w:rPr>
                <w:rFonts w:ascii="Arial" w:hAnsi="Arial" w:cs="Arial"/>
                <w:sz w:val="18"/>
                <w:szCs w:val="18"/>
              </w:rPr>
              <w:t>Accessed July 25, 2019</w:t>
            </w:r>
            <w:r>
              <w:rPr>
                <w:rFonts w:ascii="Arial" w:hAnsi="Arial" w:cs="Arial"/>
                <w:sz w:val="18"/>
                <w:szCs w:val="18"/>
              </w:rPr>
              <w:t xml:space="preserve">]). </w:t>
            </w:r>
            <w:r w:rsidRPr="001A0A8A">
              <w:rPr>
                <w:rFonts w:ascii="Arial" w:hAnsi="Arial" w:cs="Arial"/>
                <w:sz w:val="18"/>
                <w:szCs w:val="18"/>
              </w:rPr>
              <w:t>IHD incidence for each subgroup-, sex-, and age-stratum was calculated by multiplying sex-age-specific IHD incidence in the total population with the ratio of the subgroup-specific CVD hospitalisation rate and the age-adjusted CVD hospitalisation rate of the total population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D733B6" w:rsidRPr="00B0668B" w:rsidRDefault="00B0668B" w:rsidP="00B0668B"/>
    <w:sectPr w:rsidR="00D733B6" w:rsidRPr="00B0668B" w:rsidSect="00796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44" w:rsidRDefault="00796A44" w:rsidP="00796A44">
      <w:pPr>
        <w:spacing w:after="0" w:line="240" w:lineRule="auto"/>
      </w:pPr>
      <w:r>
        <w:separator/>
      </w:r>
    </w:p>
  </w:endnote>
  <w:endnote w:type="continuationSeparator" w:id="0">
    <w:p w:rsidR="00796A44" w:rsidRDefault="00796A44" w:rsidP="007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44" w:rsidRDefault="00796A44" w:rsidP="00796A44">
      <w:pPr>
        <w:spacing w:after="0" w:line="240" w:lineRule="auto"/>
      </w:pPr>
      <w:r>
        <w:separator/>
      </w:r>
    </w:p>
  </w:footnote>
  <w:footnote w:type="continuationSeparator" w:id="0">
    <w:p w:rsidR="00796A44" w:rsidRDefault="00796A44" w:rsidP="0079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9D4"/>
    <w:multiLevelType w:val="hybridMultilevel"/>
    <w:tmpl w:val="35CE88BC"/>
    <w:lvl w:ilvl="0" w:tplc="0BC4D8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44"/>
    <w:rsid w:val="004527A2"/>
    <w:rsid w:val="00592A3B"/>
    <w:rsid w:val="00796A44"/>
    <w:rsid w:val="008853F3"/>
    <w:rsid w:val="009B36AE"/>
    <w:rsid w:val="00B0668B"/>
    <w:rsid w:val="00EA76A9"/>
    <w:rsid w:val="00F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CFE4"/>
  <w15:chartTrackingRefBased/>
  <w15:docId w15:val="{A5E8A374-CF4E-457E-8F86-81654E5C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F3"/>
  </w:style>
  <w:style w:type="paragraph" w:styleId="Footer">
    <w:name w:val="footer"/>
    <w:basedOn w:val="Normal"/>
    <w:link w:val="FooterChar"/>
    <w:uiPriority w:val="99"/>
    <w:unhideWhenUsed/>
    <w:rsid w:val="00885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F3"/>
  </w:style>
  <w:style w:type="paragraph" w:styleId="BalloonText">
    <w:name w:val="Balloon Text"/>
    <w:basedOn w:val="Normal"/>
    <w:link w:val="BalloonTextChar"/>
    <w:uiPriority w:val="99"/>
    <w:semiHidden/>
    <w:unhideWhenUsed/>
    <w:rsid w:val="0088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F3"/>
    <w:rPr>
      <w:rFonts w:ascii="Segoe UI" w:hAnsi="Segoe UI" w:cs="Segoe UI"/>
      <w:sz w:val="18"/>
      <w:szCs w:val="18"/>
    </w:rPr>
  </w:style>
  <w:style w:type="character" w:customStyle="1" w:styleId="paragraph">
    <w:name w:val="paragraph"/>
    <w:basedOn w:val="DefaultParagraphFont"/>
    <w:rsid w:val="008853F3"/>
  </w:style>
  <w:style w:type="character" w:styleId="Hyperlink">
    <w:name w:val="Hyperlink"/>
    <w:basedOn w:val="DefaultParagraphFont"/>
    <w:uiPriority w:val="99"/>
    <w:unhideWhenUsed/>
    <w:rsid w:val="008853F3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853F3"/>
    <w:pPr>
      <w:spacing w:after="200" w:line="240" w:lineRule="auto"/>
    </w:pPr>
    <w:rPr>
      <w:rFonts w:ascii="Arial" w:hAnsi="Arial" w:cs="Arial"/>
      <w:noProof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53F3"/>
    <w:rPr>
      <w:rFonts w:ascii="Arial" w:hAnsi="Arial" w:cs="Arial"/>
      <w:noProof/>
      <w:sz w:val="20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853F3"/>
    <w:pPr>
      <w:spacing w:after="0"/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53F3"/>
    <w:rPr>
      <w:rFonts w:ascii="Arial" w:hAnsi="Arial" w:cs="Arial"/>
      <w:noProof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5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3F3"/>
    <w:pPr>
      <w:ind w:left="720"/>
      <w:contextualSpacing/>
    </w:pPr>
  </w:style>
  <w:style w:type="paragraph" w:customStyle="1" w:styleId="Default">
    <w:name w:val="Default"/>
    <w:rsid w:val="008853F3"/>
    <w:pPr>
      <w:autoSpaceDE w:val="0"/>
      <w:autoSpaceDN w:val="0"/>
      <w:adjustRightInd w:val="0"/>
      <w:spacing w:after="0" w:line="240" w:lineRule="auto"/>
    </w:pPr>
    <w:rPr>
      <w:rFonts w:ascii="Arial" w:eastAsia="Proxima Nov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Marklund</dc:creator>
  <cp:keywords/>
  <dc:description/>
  <cp:lastModifiedBy>Matti Marklund</cp:lastModifiedBy>
  <cp:revision>2</cp:revision>
  <dcterms:created xsi:type="dcterms:W3CDTF">2020-09-17T21:39:00Z</dcterms:created>
  <dcterms:modified xsi:type="dcterms:W3CDTF">2020-09-17T21:39:00Z</dcterms:modified>
</cp:coreProperties>
</file>