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DFA4" w14:textId="5C7E4D33" w:rsidR="00D40A0F" w:rsidRPr="00267248" w:rsidRDefault="00D40A0F" w:rsidP="00D40A0F">
      <w:pPr>
        <w:suppressLineNumbers/>
        <w:rPr>
          <w:b/>
          <w:sz w:val="24"/>
          <w:szCs w:val="24"/>
        </w:rPr>
      </w:pPr>
      <w:bookmarkStart w:id="0" w:name="_Hlk44495844"/>
      <w:r w:rsidRPr="00267248">
        <w:rPr>
          <w:b/>
          <w:sz w:val="24"/>
          <w:szCs w:val="24"/>
        </w:rPr>
        <w:t>S</w:t>
      </w:r>
      <w:r w:rsidR="00764920">
        <w:rPr>
          <w:b/>
          <w:sz w:val="24"/>
          <w:szCs w:val="24"/>
        </w:rPr>
        <w:t>9</w:t>
      </w:r>
      <w:r w:rsidRPr="00267248">
        <w:rPr>
          <w:b/>
          <w:sz w:val="24"/>
          <w:szCs w:val="24"/>
        </w:rPr>
        <w:t xml:space="preserve"> Table. Hazard ratios for maternal chronic kidney disease by history of recurrent preeclampsia, among women </w:t>
      </w:r>
      <w:r>
        <w:rPr>
          <w:b/>
          <w:sz w:val="24"/>
          <w:szCs w:val="24"/>
        </w:rPr>
        <w:t>whose first live birth occurred</w:t>
      </w:r>
      <w:r w:rsidRPr="00267248">
        <w:rPr>
          <w:b/>
          <w:sz w:val="24"/>
          <w:szCs w:val="24"/>
        </w:rPr>
        <w:t xml:space="preserve"> between 1973 and 2012 in Sweden </w:t>
      </w:r>
      <w:r w:rsidR="006354F9">
        <w:rPr>
          <w:b/>
          <w:sz w:val="24"/>
          <w:szCs w:val="24"/>
        </w:rPr>
        <w:t xml:space="preserve">with and without those who later developed postpartum hypertension </w:t>
      </w:r>
      <w:r w:rsidRPr="00267248">
        <w:rPr>
          <w:b/>
          <w:sz w:val="24"/>
          <w:szCs w:val="24"/>
        </w:rPr>
        <w:t>(</w:t>
      </w:r>
      <w:r w:rsidRPr="00267248">
        <w:rPr>
          <w:b/>
          <w:sz w:val="24"/>
        </w:rPr>
        <w:t>n=1,924,409)</w:t>
      </w:r>
    </w:p>
    <w:bookmarkEnd w:id="0"/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583"/>
        <w:gridCol w:w="4804"/>
        <w:gridCol w:w="992"/>
        <w:gridCol w:w="1843"/>
        <w:gridCol w:w="2520"/>
      </w:tblGrid>
      <w:tr w:rsidR="00D40A0F" w:rsidRPr="00267248" w14:paraId="3D15C913" w14:textId="77777777" w:rsidTr="00B766B1">
        <w:trPr>
          <w:trHeight w:val="498"/>
        </w:trPr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686540" w14:textId="77777777" w:rsidR="00D40A0F" w:rsidRPr="00267248" w:rsidRDefault="00D40A0F" w:rsidP="00B766B1">
            <w:pPr>
              <w:suppressLineNumbers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013DD0" w14:textId="77777777" w:rsidR="00D40A0F" w:rsidRPr="00267248" w:rsidRDefault="00D40A0F" w:rsidP="00B766B1">
            <w:pPr>
              <w:suppressLineNumbers/>
              <w:jc w:val="center"/>
              <w:rPr>
                <w:b/>
                <w:sz w:val="21"/>
                <w:szCs w:val="21"/>
              </w:rPr>
            </w:pPr>
            <w:r w:rsidRPr="00267248">
              <w:rPr>
                <w:b/>
                <w:sz w:val="21"/>
                <w:szCs w:val="21"/>
              </w:rPr>
              <w:t>N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AD2E2D" w14:textId="77777777" w:rsidR="00D40A0F" w:rsidRPr="00267248" w:rsidRDefault="00D40A0F" w:rsidP="00B766B1">
            <w:pPr>
              <w:suppressLineNumbers/>
              <w:jc w:val="center"/>
              <w:rPr>
                <w:b/>
                <w:sz w:val="21"/>
                <w:szCs w:val="21"/>
              </w:rPr>
            </w:pPr>
            <w:r w:rsidRPr="00267248">
              <w:rPr>
                <w:b/>
                <w:sz w:val="21"/>
                <w:szCs w:val="21"/>
              </w:rPr>
              <w:t>Fully adjusted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D1577B" w14:textId="77777777" w:rsidR="00D40A0F" w:rsidRPr="00267248" w:rsidRDefault="00D40A0F" w:rsidP="00B766B1">
            <w:pPr>
              <w:suppressLineNumbers/>
              <w:jc w:val="center"/>
              <w:rPr>
                <w:b/>
                <w:sz w:val="21"/>
                <w:szCs w:val="21"/>
              </w:rPr>
            </w:pPr>
            <w:r w:rsidRPr="00267248">
              <w:rPr>
                <w:b/>
                <w:sz w:val="21"/>
                <w:szCs w:val="21"/>
              </w:rPr>
              <w:t>Excluding women with postpartum hypertension</w:t>
            </w:r>
          </w:p>
        </w:tc>
      </w:tr>
      <w:tr w:rsidR="00D40A0F" w:rsidRPr="00267248" w14:paraId="53C7BE16" w14:textId="77777777" w:rsidTr="00B766B1">
        <w:trPr>
          <w:trHeight w:val="255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FAB02" w14:textId="77777777" w:rsidR="00D40A0F" w:rsidRPr="00267248" w:rsidRDefault="00D40A0F" w:rsidP="00B766B1">
            <w:pPr>
              <w:suppressLineNumbers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01BAE" w14:textId="77777777" w:rsidR="00D40A0F" w:rsidRPr="00267248" w:rsidRDefault="00D40A0F" w:rsidP="00B766B1">
            <w:pPr>
              <w:suppressLineNumber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2C5A4" w14:textId="77777777" w:rsidR="00D40A0F" w:rsidRPr="00267248" w:rsidRDefault="00D40A0F" w:rsidP="00B766B1">
            <w:pPr>
              <w:suppressLineNumbers/>
              <w:jc w:val="center"/>
              <w:rPr>
                <w:b/>
                <w:sz w:val="21"/>
                <w:szCs w:val="21"/>
              </w:rPr>
            </w:pPr>
            <w:r w:rsidRPr="00267248">
              <w:rPr>
                <w:b/>
                <w:sz w:val="21"/>
                <w:szCs w:val="21"/>
              </w:rPr>
              <w:t>HR (95% CI)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4FFD7" w14:textId="77777777" w:rsidR="00D40A0F" w:rsidRPr="00267248" w:rsidRDefault="00D40A0F" w:rsidP="00B766B1">
            <w:pPr>
              <w:suppressLineNumbers/>
              <w:jc w:val="center"/>
              <w:rPr>
                <w:b/>
                <w:sz w:val="21"/>
                <w:szCs w:val="21"/>
              </w:rPr>
            </w:pPr>
            <w:r w:rsidRPr="00267248">
              <w:rPr>
                <w:b/>
                <w:sz w:val="21"/>
                <w:szCs w:val="21"/>
              </w:rPr>
              <w:t>HR (95% CI)</w:t>
            </w:r>
          </w:p>
        </w:tc>
      </w:tr>
      <w:tr w:rsidR="00D40A0F" w:rsidRPr="00267248" w14:paraId="0BF8EB27" w14:textId="77777777" w:rsidTr="00B766B1">
        <w:trPr>
          <w:trHeight w:val="240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429E2" w14:textId="77777777" w:rsidR="00D40A0F" w:rsidRPr="00267248" w:rsidRDefault="00D40A0F" w:rsidP="00B766B1">
            <w:pPr>
              <w:suppressLineNumbers/>
              <w:rPr>
                <w:b/>
                <w:sz w:val="20"/>
                <w:szCs w:val="20"/>
              </w:rPr>
            </w:pPr>
            <w:r w:rsidRPr="00267248">
              <w:rPr>
                <w:b/>
                <w:sz w:val="20"/>
                <w:szCs w:val="20"/>
              </w:rPr>
              <w:t xml:space="preserve">Overall CKD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79F6A" w14:textId="77777777" w:rsidR="00D40A0F" w:rsidRPr="00267248" w:rsidRDefault="00D40A0F" w:rsidP="00B766B1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B76F4" w14:textId="77777777" w:rsidR="00D40A0F" w:rsidRPr="00267248" w:rsidRDefault="00D40A0F" w:rsidP="00B766B1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F597D" w14:textId="77777777" w:rsidR="00D40A0F" w:rsidRPr="00267248" w:rsidRDefault="00D40A0F" w:rsidP="00B766B1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  <w:tr w:rsidR="00D40A0F" w:rsidRPr="00267248" w14:paraId="1B1EF522" w14:textId="77777777" w:rsidTr="00B766B1">
        <w:trPr>
          <w:trHeight w:val="177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1E95E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Two pregnancies without preeclampsia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42AFD0" w14:textId="77777777" w:rsidR="00D40A0F" w:rsidRPr="00267248" w:rsidRDefault="00D40A0F" w:rsidP="00B766B1">
            <w:pPr>
              <w:suppressLineNumbers/>
              <w:jc w:val="center"/>
              <w:rPr>
                <w:color w:val="FF0000"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6,326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5F9149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4556560" w14:textId="77777777" w:rsidR="00D40A0F" w:rsidRPr="00267248" w:rsidRDefault="00D40A0F" w:rsidP="00B766B1">
            <w:pPr>
              <w:suppressLineNumbers/>
              <w:jc w:val="center"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1.0</w:t>
            </w:r>
          </w:p>
        </w:tc>
      </w:tr>
      <w:tr w:rsidR="00D40A0F" w:rsidRPr="00267248" w14:paraId="387E4B29" w14:textId="77777777" w:rsidTr="00B766B1">
        <w:trPr>
          <w:trHeight w:val="278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EEA5A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 xml:space="preserve">Two pregnancies, </w:t>
            </w:r>
            <w:proofErr w:type="gramStart"/>
            <w:r w:rsidRPr="00267248">
              <w:rPr>
                <w:sz w:val="20"/>
                <w:szCs w:val="20"/>
              </w:rPr>
              <w:t>one episode</w:t>
            </w:r>
            <w:proofErr w:type="gramEnd"/>
            <w:r w:rsidRPr="00267248">
              <w:rPr>
                <w:sz w:val="20"/>
                <w:szCs w:val="20"/>
              </w:rPr>
              <w:t xml:space="preserve"> preeclampsia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613FBD" w14:textId="77777777" w:rsidR="00D40A0F" w:rsidRPr="00267248" w:rsidRDefault="00D40A0F" w:rsidP="00B766B1">
            <w:pPr>
              <w:suppressLineNumbers/>
              <w:jc w:val="center"/>
              <w:rPr>
                <w:color w:val="FF0000"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551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D6DC3F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1.82 (1.66-1.99)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0CC4BA3" w14:textId="77777777" w:rsidR="00D40A0F" w:rsidRPr="00267248" w:rsidRDefault="00D40A0F" w:rsidP="00B766B1">
            <w:pPr>
              <w:suppressLineNumbers/>
              <w:jc w:val="center"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1.61 (1.45-1.78)</w:t>
            </w:r>
          </w:p>
        </w:tc>
      </w:tr>
      <w:tr w:rsidR="00D40A0F" w:rsidRPr="00267248" w14:paraId="6F16DA86" w14:textId="77777777" w:rsidTr="00B766B1">
        <w:trPr>
          <w:trHeight w:val="27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63E68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Two pregnancies, two episodes preeclampsia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651145" w14:textId="77777777" w:rsidR="00D40A0F" w:rsidRPr="00267248" w:rsidRDefault="00D40A0F" w:rsidP="00B766B1">
            <w:pPr>
              <w:suppressLineNumbers/>
              <w:jc w:val="center"/>
              <w:rPr>
                <w:color w:val="FF0000"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5456B6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2.64 (2.14-3.25)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E8F6B5E" w14:textId="77777777" w:rsidR="00D40A0F" w:rsidRPr="00267248" w:rsidRDefault="00D40A0F" w:rsidP="00B766B1">
            <w:pPr>
              <w:suppressLineNumbers/>
              <w:jc w:val="center"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2.21 (1.73-2.82)</w:t>
            </w:r>
          </w:p>
        </w:tc>
      </w:tr>
      <w:tr w:rsidR="00D40A0F" w:rsidRPr="00267248" w14:paraId="3D2766BD" w14:textId="77777777" w:rsidTr="00B766B1">
        <w:trPr>
          <w:trHeight w:val="240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A3DAA" w14:textId="77777777" w:rsidR="00D40A0F" w:rsidRPr="00267248" w:rsidRDefault="00D40A0F" w:rsidP="00B766B1">
            <w:pPr>
              <w:suppressLineNumbers/>
              <w:rPr>
                <w:b/>
                <w:sz w:val="20"/>
                <w:szCs w:val="20"/>
              </w:rPr>
            </w:pPr>
            <w:r w:rsidRPr="0026724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C8DAF" w14:textId="77777777" w:rsidR="00D40A0F" w:rsidRPr="00267248" w:rsidRDefault="00D40A0F" w:rsidP="00B766B1">
            <w:pPr>
              <w:suppressLineNumbers/>
              <w:rPr>
                <w:b/>
                <w:sz w:val="20"/>
                <w:szCs w:val="20"/>
              </w:rPr>
            </w:pPr>
            <w:r w:rsidRPr="00267248">
              <w:rPr>
                <w:b/>
                <w:sz w:val="20"/>
                <w:szCs w:val="20"/>
              </w:rPr>
              <w:t>Tubulointerstitial CKD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42DC4" w14:textId="77777777" w:rsidR="00D40A0F" w:rsidRPr="00267248" w:rsidRDefault="00D40A0F" w:rsidP="00B766B1">
            <w:pPr>
              <w:suppressLineNumber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CA514" w14:textId="77777777" w:rsidR="00D40A0F" w:rsidRPr="00267248" w:rsidRDefault="00D40A0F" w:rsidP="00B766B1">
            <w:pPr>
              <w:suppressLineNumbers/>
              <w:jc w:val="center"/>
              <w:rPr>
                <w:i/>
                <w:strike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5A0D1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</w:p>
        </w:tc>
      </w:tr>
      <w:tr w:rsidR="00D40A0F" w:rsidRPr="00267248" w14:paraId="7CA128F8" w14:textId="77777777" w:rsidTr="00B766B1">
        <w:trPr>
          <w:trHeight w:val="30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2B9D4165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4AE28646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Two pregnancies without preeclampsia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460950" w14:textId="77777777" w:rsidR="00D40A0F" w:rsidRPr="00267248" w:rsidRDefault="00D40A0F" w:rsidP="00B766B1">
            <w:pPr>
              <w:suppressLineNumbers/>
              <w:jc w:val="center"/>
              <w:rPr>
                <w:color w:val="FF0000"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1,054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E032C1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007F725" w14:textId="77777777" w:rsidR="00D40A0F" w:rsidRPr="00267248" w:rsidRDefault="00D40A0F" w:rsidP="00B766B1">
            <w:pPr>
              <w:suppressLineNumbers/>
              <w:jc w:val="center"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1.0</w:t>
            </w:r>
          </w:p>
        </w:tc>
      </w:tr>
      <w:tr w:rsidR="00D40A0F" w:rsidRPr="00267248" w14:paraId="7B9FDB77" w14:textId="77777777" w:rsidTr="00B766B1">
        <w:trPr>
          <w:trHeight w:val="294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DADACE7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1ACEE8AC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 xml:space="preserve">Two pregnancies, </w:t>
            </w:r>
            <w:proofErr w:type="gramStart"/>
            <w:r w:rsidRPr="00267248">
              <w:rPr>
                <w:sz w:val="20"/>
                <w:szCs w:val="20"/>
              </w:rPr>
              <w:t>one episode</w:t>
            </w:r>
            <w:proofErr w:type="gramEnd"/>
            <w:r w:rsidRPr="00267248">
              <w:rPr>
                <w:sz w:val="20"/>
                <w:szCs w:val="20"/>
              </w:rPr>
              <w:t xml:space="preserve"> preeclampsia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C0BE4B" w14:textId="77777777" w:rsidR="00D40A0F" w:rsidRPr="00267248" w:rsidRDefault="00D40A0F" w:rsidP="00B766B1">
            <w:pPr>
              <w:suppressLineNumbers/>
              <w:jc w:val="center"/>
              <w:rPr>
                <w:color w:val="FF0000"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50F261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1.58 (1.25-1.99)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6F3062" w14:textId="77777777" w:rsidR="00D40A0F" w:rsidRPr="00267248" w:rsidRDefault="00D40A0F" w:rsidP="00B766B1">
            <w:pPr>
              <w:suppressLineNumbers/>
              <w:jc w:val="center"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1.47 (1.14-1.88)</w:t>
            </w:r>
          </w:p>
        </w:tc>
      </w:tr>
      <w:tr w:rsidR="00D40A0F" w:rsidRPr="00267248" w14:paraId="19AB852F" w14:textId="77777777" w:rsidTr="00B766B1">
        <w:trPr>
          <w:trHeight w:val="27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3EB36974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03E15F7C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Two pregnancies, two episodes preeclampsia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18D170" w14:textId="77777777" w:rsidR="00D40A0F" w:rsidRPr="00267248" w:rsidRDefault="00D40A0F" w:rsidP="00B766B1">
            <w:pPr>
              <w:suppressLineNumbers/>
              <w:jc w:val="center"/>
              <w:rPr>
                <w:color w:val="FF0000"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27BB22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1.74 (0.93-3.25)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42F485" w14:textId="77777777" w:rsidR="00D40A0F" w:rsidRPr="00267248" w:rsidRDefault="00D40A0F" w:rsidP="00B766B1">
            <w:pPr>
              <w:suppressLineNumbers/>
              <w:jc w:val="center"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0.74 (0.28-1.98)</w:t>
            </w:r>
          </w:p>
        </w:tc>
      </w:tr>
      <w:tr w:rsidR="00D40A0F" w:rsidRPr="00267248" w14:paraId="63B20EA5" w14:textId="77777777" w:rsidTr="00B766B1">
        <w:trPr>
          <w:trHeight w:val="240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12115" w14:textId="77777777" w:rsidR="00D40A0F" w:rsidRPr="00267248" w:rsidRDefault="00D40A0F" w:rsidP="00B766B1">
            <w:pPr>
              <w:suppressLineNumbers/>
              <w:rPr>
                <w:b/>
                <w:sz w:val="20"/>
                <w:szCs w:val="20"/>
              </w:rPr>
            </w:pPr>
            <w:r w:rsidRPr="0026724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F07A1" w14:textId="77777777" w:rsidR="00D40A0F" w:rsidRPr="00267248" w:rsidRDefault="00D40A0F" w:rsidP="00B766B1">
            <w:pPr>
              <w:suppressLineNumbers/>
              <w:rPr>
                <w:b/>
                <w:sz w:val="20"/>
                <w:szCs w:val="20"/>
              </w:rPr>
            </w:pPr>
            <w:r w:rsidRPr="00267248">
              <w:rPr>
                <w:b/>
                <w:sz w:val="20"/>
                <w:szCs w:val="20"/>
              </w:rPr>
              <w:t>Glomerular/</w:t>
            </w:r>
            <w:proofErr w:type="spellStart"/>
            <w:r w:rsidRPr="00267248">
              <w:rPr>
                <w:b/>
                <w:sz w:val="20"/>
                <w:szCs w:val="20"/>
              </w:rPr>
              <w:t>proteinuric</w:t>
            </w:r>
            <w:proofErr w:type="spellEnd"/>
            <w:r w:rsidRPr="00267248">
              <w:rPr>
                <w:b/>
                <w:sz w:val="20"/>
                <w:szCs w:val="20"/>
              </w:rPr>
              <w:t xml:space="preserve"> CKD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4A600" w14:textId="77777777" w:rsidR="00D40A0F" w:rsidRPr="00267248" w:rsidRDefault="00D40A0F" w:rsidP="00B766B1">
            <w:pPr>
              <w:suppressLineNumber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100CE" w14:textId="77777777" w:rsidR="00D40A0F" w:rsidRPr="00267248" w:rsidRDefault="00D40A0F" w:rsidP="00B766B1">
            <w:pPr>
              <w:suppressLineNumbers/>
              <w:jc w:val="center"/>
              <w:rPr>
                <w:i/>
                <w:strike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89828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</w:p>
        </w:tc>
      </w:tr>
      <w:tr w:rsidR="00D40A0F" w:rsidRPr="00267248" w14:paraId="3C018DF9" w14:textId="77777777" w:rsidTr="00B766B1">
        <w:trPr>
          <w:trHeight w:val="18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0E8C129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3C4706FB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Two pregnancies without preeclampsia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E390CC" w14:textId="77777777" w:rsidR="00D40A0F" w:rsidRPr="00267248" w:rsidRDefault="00D40A0F" w:rsidP="00B766B1">
            <w:pPr>
              <w:suppressLineNumbers/>
              <w:jc w:val="center"/>
              <w:rPr>
                <w:rFonts w:ascii="Calibri" w:eastAsia="Calibri" w:hAnsi="Calibri"/>
                <w:color w:val="FF0000"/>
                <w:sz w:val="20"/>
                <w:szCs w:val="20"/>
              </w:rPr>
            </w:pPr>
            <w:r w:rsidRPr="00267248">
              <w:rPr>
                <w:rFonts w:ascii="Calibri" w:eastAsia="Calibri" w:hAnsi="Calibri"/>
                <w:sz w:val="20"/>
                <w:szCs w:val="20"/>
              </w:rPr>
              <w:t>2,062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368BC5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B9CDE1B" w14:textId="77777777" w:rsidR="00D40A0F" w:rsidRPr="00267248" w:rsidRDefault="00D40A0F" w:rsidP="00B766B1">
            <w:pPr>
              <w:suppressLineNumbers/>
              <w:jc w:val="center"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1.0</w:t>
            </w:r>
          </w:p>
        </w:tc>
      </w:tr>
      <w:tr w:rsidR="00D40A0F" w:rsidRPr="00267248" w14:paraId="06378FFD" w14:textId="77777777" w:rsidTr="00B766B1">
        <w:trPr>
          <w:trHeight w:val="268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22B04CF8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608592D2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 xml:space="preserve">Two pregnancies, </w:t>
            </w:r>
            <w:proofErr w:type="gramStart"/>
            <w:r w:rsidRPr="00267248">
              <w:rPr>
                <w:sz w:val="20"/>
                <w:szCs w:val="20"/>
              </w:rPr>
              <w:t>one episode</w:t>
            </w:r>
            <w:proofErr w:type="gramEnd"/>
            <w:r w:rsidRPr="00267248">
              <w:rPr>
                <w:sz w:val="20"/>
                <w:szCs w:val="20"/>
              </w:rPr>
              <w:t xml:space="preserve"> preeclampsia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5E5C20" w14:textId="77777777" w:rsidR="00D40A0F" w:rsidRPr="00267248" w:rsidRDefault="00D40A0F" w:rsidP="00B766B1">
            <w:pPr>
              <w:suppressLineNumbers/>
              <w:jc w:val="center"/>
              <w:rPr>
                <w:rFonts w:ascii="Calibri" w:eastAsia="Calibri" w:hAnsi="Calibri"/>
                <w:color w:val="FF0000"/>
                <w:sz w:val="20"/>
                <w:szCs w:val="20"/>
              </w:rPr>
            </w:pPr>
            <w:r w:rsidRPr="00267248">
              <w:rPr>
                <w:rFonts w:ascii="Calibri" w:eastAsia="Calibri" w:hAnsi="Calibri"/>
                <w:sz w:val="20"/>
                <w:szCs w:val="20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012FA9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2.02 (1.73-2.35)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28E3FEF" w14:textId="77777777" w:rsidR="00D40A0F" w:rsidRPr="00267248" w:rsidRDefault="00D40A0F" w:rsidP="00B766B1">
            <w:pPr>
              <w:suppressLineNumbers/>
              <w:jc w:val="center"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1.91 (1.62-2.25)</w:t>
            </w:r>
          </w:p>
        </w:tc>
      </w:tr>
      <w:tr w:rsidR="00D40A0F" w:rsidRPr="00267248" w14:paraId="63350260" w14:textId="77777777" w:rsidTr="00B766B1">
        <w:trPr>
          <w:trHeight w:val="288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1C9BA06C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19661BF7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Two pregnancies, two episodes preeclampsia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B8634" w14:textId="77777777" w:rsidR="00D40A0F" w:rsidRPr="00267248" w:rsidRDefault="00D40A0F" w:rsidP="00B766B1">
            <w:pPr>
              <w:suppressLineNumbers/>
              <w:jc w:val="center"/>
              <w:rPr>
                <w:rFonts w:ascii="Calibri" w:eastAsia="Calibri" w:hAnsi="Calibri"/>
                <w:color w:val="FF0000"/>
                <w:sz w:val="20"/>
                <w:szCs w:val="20"/>
              </w:rPr>
            </w:pPr>
            <w:r w:rsidRPr="00267248">
              <w:rPr>
                <w:rFonts w:ascii="Calibri" w:eastAsia="Calibri" w:hAnsi="Calibri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870ED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3.42 (2.44-4.78)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10DA4" w14:textId="77777777" w:rsidR="00D40A0F" w:rsidRPr="00267248" w:rsidRDefault="00D40A0F" w:rsidP="00B766B1">
            <w:pPr>
              <w:suppressLineNumbers/>
              <w:jc w:val="center"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3.31 (2.32-4.72)</w:t>
            </w:r>
          </w:p>
        </w:tc>
      </w:tr>
      <w:tr w:rsidR="00D40A0F" w:rsidRPr="00267248" w14:paraId="02D4AE68" w14:textId="77777777" w:rsidTr="00B766B1">
        <w:trPr>
          <w:trHeight w:val="240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906C1" w14:textId="77777777" w:rsidR="00D40A0F" w:rsidRPr="00267248" w:rsidRDefault="00D40A0F" w:rsidP="00B766B1">
            <w:pPr>
              <w:suppressLineNumbers/>
              <w:rPr>
                <w:b/>
                <w:sz w:val="20"/>
                <w:szCs w:val="20"/>
              </w:rPr>
            </w:pPr>
            <w:r w:rsidRPr="0026724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4C07B" w14:textId="77777777" w:rsidR="00D40A0F" w:rsidRPr="00267248" w:rsidRDefault="00D40A0F" w:rsidP="00B766B1">
            <w:pPr>
              <w:suppressLineNumbers/>
              <w:rPr>
                <w:b/>
                <w:sz w:val="20"/>
                <w:szCs w:val="20"/>
              </w:rPr>
            </w:pPr>
            <w:r w:rsidRPr="00267248">
              <w:rPr>
                <w:b/>
                <w:sz w:val="20"/>
                <w:szCs w:val="20"/>
              </w:rPr>
              <w:t>Hypertensive CKD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8E229" w14:textId="77777777" w:rsidR="00D40A0F" w:rsidRPr="00267248" w:rsidRDefault="00D40A0F" w:rsidP="00B766B1">
            <w:pPr>
              <w:suppressLineNumbers/>
              <w:jc w:val="center"/>
              <w:rPr>
                <w:rFonts w:ascii="Calibri" w:eastAsia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91092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D6410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</w:p>
        </w:tc>
      </w:tr>
      <w:tr w:rsidR="00D40A0F" w:rsidRPr="00267248" w14:paraId="0CC448F3" w14:textId="77777777" w:rsidTr="00B766B1">
        <w:trPr>
          <w:trHeight w:val="308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3433712C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348970F7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Two pregnancies without preeclampsia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BF8541" w14:textId="77777777" w:rsidR="00D40A0F" w:rsidRPr="00267248" w:rsidRDefault="00D40A0F" w:rsidP="00B766B1">
            <w:pPr>
              <w:suppressLineNumbers/>
              <w:jc w:val="center"/>
              <w:rPr>
                <w:rFonts w:ascii="Calibri" w:eastAsia="Calibri" w:hAnsi="Calibri"/>
                <w:color w:val="FF0000"/>
                <w:sz w:val="20"/>
                <w:szCs w:val="20"/>
              </w:rPr>
            </w:pPr>
            <w:r w:rsidRPr="00267248">
              <w:rPr>
                <w:rFonts w:ascii="Calibri" w:eastAsia="Calibri" w:hAnsi="Calibri"/>
                <w:sz w:val="20"/>
                <w:szCs w:val="20"/>
              </w:rPr>
              <w:t>217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67DA11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02594A5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  <w:r w:rsidRPr="00267248">
              <w:rPr>
                <w:i/>
                <w:sz w:val="20"/>
                <w:szCs w:val="20"/>
              </w:rPr>
              <w:t>-</w:t>
            </w:r>
          </w:p>
        </w:tc>
      </w:tr>
      <w:tr w:rsidR="00D40A0F" w:rsidRPr="00267248" w14:paraId="17BA4FFA" w14:textId="77777777" w:rsidTr="00B766B1">
        <w:trPr>
          <w:trHeight w:val="284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612F3EEF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6C8E3A8D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 xml:space="preserve">Two pregnancies, </w:t>
            </w:r>
            <w:proofErr w:type="gramStart"/>
            <w:r w:rsidRPr="00267248">
              <w:rPr>
                <w:sz w:val="20"/>
                <w:szCs w:val="20"/>
              </w:rPr>
              <w:t>one episode</w:t>
            </w:r>
            <w:proofErr w:type="gramEnd"/>
            <w:r w:rsidRPr="00267248">
              <w:rPr>
                <w:sz w:val="20"/>
                <w:szCs w:val="20"/>
              </w:rPr>
              <w:t xml:space="preserve"> preeclampsia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692A5C" w14:textId="77777777" w:rsidR="00D40A0F" w:rsidRPr="00267248" w:rsidRDefault="00D40A0F" w:rsidP="00B766B1">
            <w:pPr>
              <w:suppressLineNumbers/>
              <w:jc w:val="center"/>
              <w:rPr>
                <w:rFonts w:ascii="Calibri" w:eastAsia="Calibri" w:hAnsi="Calibri"/>
                <w:color w:val="FF0000"/>
                <w:sz w:val="20"/>
                <w:szCs w:val="20"/>
              </w:rPr>
            </w:pPr>
            <w:r w:rsidRPr="00267248">
              <w:rPr>
                <w:rFonts w:ascii="Calibri" w:eastAsia="Calibri" w:hAnsi="Calibri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8ADE12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3.23 (2.25-4.63)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276196D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  <w:r w:rsidRPr="00267248">
              <w:rPr>
                <w:i/>
                <w:sz w:val="20"/>
                <w:szCs w:val="20"/>
              </w:rPr>
              <w:t>-</w:t>
            </w:r>
          </w:p>
        </w:tc>
      </w:tr>
      <w:tr w:rsidR="00D40A0F" w:rsidRPr="00267248" w14:paraId="2D4D2ED7" w14:textId="77777777" w:rsidTr="00B766B1">
        <w:trPr>
          <w:trHeight w:val="27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619AFA71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1186ABFA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Two pregnancies, two episodes preeclampsia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805103" w14:textId="77777777" w:rsidR="00D40A0F" w:rsidRPr="00267248" w:rsidRDefault="00D40A0F" w:rsidP="00B766B1">
            <w:pPr>
              <w:suppressLineNumbers/>
              <w:jc w:val="center"/>
              <w:rPr>
                <w:rFonts w:ascii="Calibri" w:eastAsia="Calibri" w:hAnsi="Calibri"/>
                <w:color w:val="FF0000"/>
                <w:sz w:val="20"/>
                <w:szCs w:val="20"/>
              </w:rPr>
            </w:pPr>
            <w:r w:rsidRPr="00267248">
              <w:rPr>
                <w:rFonts w:ascii="Calibri" w:eastAsia="Calibri" w:hAnsi="Calibri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B0CCF6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5.30 (2.47-11.36)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0B3D05C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  <w:r w:rsidRPr="00267248">
              <w:rPr>
                <w:i/>
                <w:sz w:val="20"/>
                <w:szCs w:val="20"/>
              </w:rPr>
              <w:t>-</w:t>
            </w:r>
          </w:p>
        </w:tc>
      </w:tr>
      <w:tr w:rsidR="00D40A0F" w:rsidRPr="00267248" w14:paraId="7A0A30BF" w14:textId="77777777" w:rsidTr="00B766B1">
        <w:trPr>
          <w:trHeight w:val="240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ACAA5" w14:textId="77777777" w:rsidR="00D40A0F" w:rsidRPr="00267248" w:rsidRDefault="00D40A0F" w:rsidP="00B766B1">
            <w:pPr>
              <w:suppressLineNumbers/>
              <w:rPr>
                <w:b/>
                <w:sz w:val="20"/>
                <w:szCs w:val="20"/>
              </w:rPr>
            </w:pPr>
            <w:r w:rsidRPr="0026724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CDBEF" w14:textId="77777777" w:rsidR="00D40A0F" w:rsidRPr="00267248" w:rsidRDefault="00D40A0F" w:rsidP="00B766B1">
            <w:pPr>
              <w:suppressLineNumbers/>
              <w:rPr>
                <w:b/>
                <w:sz w:val="20"/>
                <w:szCs w:val="20"/>
              </w:rPr>
            </w:pPr>
            <w:r w:rsidRPr="00267248">
              <w:rPr>
                <w:b/>
                <w:sz w:val="20"/>
                <w:szCs w:val="20"/>
              </w:rPr>
              <w:t>Diabetic CKD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E17F2" w14:textId="77777777" w:rsidR="00D40A0F" w:rsidRPr="00267248" w:rsidRDefault="00D40A0F" w:rsidP="00B766B1">
            <w:pPr>
              <w:suppressLineNumber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97AA0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2328E" w14:textId="77777777" w:rsidR="00D40A0F" w:rsidRPr="00267248" w:rsidRDefault="00D40A0F" w:rsidP="00B766B1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  <w:tr w:rsidR="00D40A0F" w:rsidRPr="00267248" w14:paraId="67767D95" w14:textId="77777777" w:rsidTr="00B766B1">
        <w:trPr>
          <w:trHeight w:val="198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73FD144F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4F00FD87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Two pregnancies without preeclampsia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0B145C" w14:textId="77777777" w:rsidR="00D40A0F" w:rsidRPr="00267248" w:rsidRDefault="00D40A0F" w:rsidP="00B766B1">
            <w:pPr>
              <w:suppressLineNumbers/>
              <w:jc w:val="center"/>
              <w:rPr>
                <w:color w:val="FF0000"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18F1F9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007D4AC" w14:textId="77777777" w:rsidR="00D40A0F" w:rsidRPr="00267248" w:rsidRDefault="00D40A0F" w:rsidP="00B766B1">
            <w:pPr>
              <w:suppressLineNumbers/>
              <w:jc w:val="center"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1.0</w:t>
            </w:r>
          </w:p>
        </w:tc>
      </w:tr>
      <w:tr w:rsidR="00D40A0F" w:rsidRPr="00267248" w14:paraId="1E237493" w14:textId="77777777" w:rsidTr="00B766B1">
        <w:trPr>
          <w:trHeight w:val="27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7BCB8AF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2E05FF92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 xml:space="preserve">Two pregnancies, </w:t>
            </w:r>
            <w:proofErr w:type="gramStart"/>
            <w:r w:rsidRPr="00267248">
              <w:rPr>
                <w:sz w:val="20"/>
                <w:szCs w:val="20"/>
              </w:rPr>
              <w:t>one episode</w:t>
            </w:r>
            <w:proofErr w:type="gramEnd"/>
            <w:r w:rsidRPr="00267248">
              <w:rPr>
                <w:sz w:val="20"/>
                <w:szCs w:val="20"/>
              </w:rPr>
              <w:t xml:space="preserve"> preeclampsia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2A5064" w14:textId="77777777" w:rsidR="00D40A0F" w:rsidRPr="00267248" w:rsidRDefault="00D40A0F" w:rsidP="00B766B1">
            <w:pPr>
              <w:suppressLineNumbers/>
              <w:jc w:val="center"/>
              <w:rPr>
                <w:color w:val="FF0000"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5AE9B0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3.74 (2.88-4.86)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3C3EB37" w14:textId="77777777" w:rsidR="00D40A0F" w:rsidRPr="00267248" w:rsidRDefault="00D40A0F" w:rsidP="00B766B1">
            <w:pPr>
              <w:suppressLineNumbers/>
              <w:jc w:val="center"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3.56 (2.59-4.90)</w:t>
            </w:r>
          </w:p>
        </w:tc>
      </w:tr>
      <w:tr w:rsidR="00D40A0F" w:rsidRPr="00267248" w14:paraId="17F1DA72" w14:textId="77777777" w:rsidTr="00B766B1">
        <w:trPr>
          <w:trHeight w:val="29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BEBD7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3790A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Two pregnancies, two episodes preeclampsia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7379F" w14:textId="77777777" w:rsidR="00D40A0F" w:rsidRPr="00267248" w:rsidRDefault="00D40A0F" w:rsidP="00B766B1">
            <w:pPr>
              <w:suppressLineNumbers/>
              <w:jc w:val="center"/>
              <w:rPr>
                <w:color w:val="FF0000"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D9114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6.80 (3.96-11.68)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36D38" w14:textId="77777777" w:rsidR="00D40A0F" w:rsidRPr="00267248" w:rsidRDefault="00D40A0F" w:rsidP="00B766B1">
            <w:pPr>
              <w:suppressLineNumbers/>
              <w:jc w:val="center"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7.70 (4.17-14.19)</w:t>
            </w:r>
          </w:p>
        </w:tc>
      </w:tr>
      <w:tr w:rsidR="00D40A0F" w:rsidRPr="00267248" w14:paraId="4EEC0402" w14:textId="77777777" w:rsidTr="00B766B1">
        <w:trPr>
          <w:trHeight w:val="240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60229" w14:textId="77777777" w:rsidR="00D40A0F" w:rsidRPr="00267248" w:rsidRDefault="00D40A0F" w:rsidP="00B766B1">
            <w:pPr>
              <w:suppressLineNumbers/>
              <w:rPr>
                <w:b/>
                <w:sz w:val="20"/>
                <w:szCs w:val="20"/>
              </w:rPr>
            </w:pPr>
            <w:r w:rsidRPr="0026724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DA1F4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  <w:r w:rsidRPr="00267248">
              <w:rPr>
                <w:b/>
                <w:sz w:val="20"/>
                <w:szCs w:val="20"/>
              </w:rPr>
              <w:t>Other/unspecified CKD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AFD48" w14:textId="77777777" w:rsidR="00D40A0F" w:rsidRPr="00267248" w:rsidRDefault="00D40A0F" w:rsidP="00B766B1">
            <w:pPr>
              <w:suppressLineNumber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3A5B9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979A2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</w:p>
        </w:tc>
      </w:tr>
      <w:tr w:rsidR="00D40A0F" w:rsidRPr="00267248" w14:paraId="0C57B1F4" w14:textId="77777777" w:rsidTr="00B766B1">
        <w:trPr>
          <w:trHeight w:val="269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F62977E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145AA3A7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Two pregnancies without preeclampsia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450034" w14:textId="77777777" w:rsidR="00D40A0F" w:rsidRPr="00267248" w:rsidRDefault="00D40A0F" w:rsidP="00B766B1">
            <w:pPr>
              <w:suppressLineNumbers/>
              <w:jc w:val="center"/>
              <w:rPr>
                <w:color w:val="FF0000"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2,651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25B01F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EE25806" w14:textId="77777777" w:rsidR="00D40A0F" w:rsidRPr="00267248" w:rsidRDefault="00D40A0F" w:rsidP="00B766B1">
            <w:pPr>
              <w:suppressLineNumbers/>
              <w:jc w:val="center"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1.0</w:t>
            </w:r>
          </w:p>
        </w:tc>
      </w:tr>
      <w:tr w:rsidR="00D40A0F" w:rsidRPr="00267248" w14:paraId="4AF603F7" w14:textId="77777777" w:rsidTr="00B766B1">
        <w:trPr>
          <w:trHeight w:val="288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1B5293F7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4A0338A8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 xml:space="preserve">Two pregnancies, </w:t>
            </w:r>
            <w:proofErr w:type="gramStart"/>
            <w:r w:rsidRPr="00267248">
              <w:rPr>
                <w:sz w:val="20"/>
                <w:szCs w:val="20"/>
              </w:rPr>
              <w:t>one episode</w:t>
            </w:r>
            <w:proofErr w:type="gramEnd"/>
            <w:r w:rsidRPr="00267248">
              <w:rPr>
                <w:sz w:val="20"/>
                <w:szCs w:val="20"/>
              </w:rPr>
              <w:t xml:space="preserve"> preeclampsia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A15B45" w14:textId="77777777" w:rsidR="00D40A0F" w:rsidRPr="00267248" w:rsidRDefault="00D40A0F" w:rsidP="00B766B1">
            <w:pPr>
              <w:suppressLineNumbers/>
              <w:jc w:val="center"/>
              <w:rPr>
                <w:color w:val="FF0000"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3768E4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1.36 (1.16-1.58)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5BFD25D" w14:textId="77777777" w:rsidR="00D40A0F" w:rsidRPr="00267248" w:rsidRDefault="00D40A0F" w:rsidP="00B766B1">
            <w:pPr>
              <w:suppressLineNumbers/>
              <w:jc w:val="center"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1.21 (1.02-1.43)</w:t>
            </w:r>
          </w:p>
        </w:tc>
      </w:tr>
      <w:tr w:rsidR="00D40A0F" w:rsidRPr="00267248" w14:paraId="23FC1297" w14:textId="77777777" w:rsidTr="00B766B1">
        <w:trPr>
          <w:trHeight w:val="334"/>
        </w:trPr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02EDD3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6AA25A" w14:textId="77777777" w:rsidR="00D40A0F" w:rsidRPr="00267248" w:rsidRDefault="00D40A0F" w:rsidP="00B766B1">
            <w:pPr>
              <w:suppressLineNumbers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Two pregnancies, two episodes preeclampsia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E3235A" w14:textId="77777777" w:rsidR="00D40A0F" w:rsidRPr="00267248" w:rsidRDefault="00D40A0F" w:rsidP="00B766B1">
            <w:pPr>
              <w:suppressLineNumbers/>
              <w:jc w:val="center"/>
              <w:rPr>
                <w:color w:val="FF0000"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CFE034" w14:textId="77777777" w:rsidR="00D40A0F" w:rsidRPr="00267248" w:rsidRDefault="00D40A0F" w:rsidP="00B766B1">
            <w:pPr>
              <w:suppressLineNumbers/>
              <w:jc w:val="center"/>
              <w:rPr>
                <w:i/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1.64 (1.10-2.46)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D900AF" w14:textId="77777777" w:rsidR="00D40A0F" w:rsidRPr="00267248" w:rsidRDefault="00D40A0F" w:rsidP="00B766B1">
            <w:pPr>
              <w:suppressLineNumbers/>
              <w:jc w:val="center"/>
              <w:rPr>
                <w:sz w:val="20"/>
                <w:szCs w:val="20"/>
              </w:rPr>
            </w:pPr>
            <w:r w:rsidRPr="00267248">
              <w:rPr>
                <w:sz w:val="20"/>
                <w:szCs w:val="20"/>
              </w:rPr>
              <w:t>1.45 (0.92-2.28)</w:t>
            </w:r>
          </w:p>
        </w:tc>
      </w:tr>
    </w:tbl>
    <w:p w14:paraId="1861FC9B" w14:textId="77777777" w:rsidR="00D40A0F" w:rsidRPr="00267248" w:rsidRDefault="00D40A0F" w:rsidP="00D40A0F">
      <w:pPr>
        <w:suppressLineNumbers/>
        <w:spacing w:after="0" w:line="240" w:lineRule="auto"/>
        <w:rPr>
          <w:sz w:val="24"/>
          <w:szCs w:val="24"/>
        </w:rPr>
      </w:pPr>
    </w:p>
    <w:p w14:paraId="0224804F" w14:textId="77777777" w:rsidR="00D40A0F" w:rsidRPr="00267248" w:rsidRDefault="00D40A0F" w:rsidP="00D40A0F">
      <w:pPr>
        <w:suppressLineNumbers/>
        <w:spacing w:after="0" w:line="240" w:lineRule="auto"/>
        <w:rPr>
          <w:sz w:val="24"/>
          <w:szCs w:val="24"/>
        </w:rPr>
      </w:pPr>
    </w:p>
    <w:p w14:paraId="4D5AFA71" w14:textId="77777777" w:rsidR="00D40A0F" w:rsidRPr="00267248" w:rsidRDefault="00D40A0F" w:rsidP="00D40A0F">
      <w:pPr>
        <w:suppressLineNumbers/>
        <w:spacing w:after="0" w:line="240" w:lineRule="auto"/>
        <w:rPr>
          <w:sz w:val="24"/>
          <w:szCs w:val="24"/>
        </w:rPr>
      </w:pPr>
    </w:p>
    <w:p w14:paraId="36468D2E" w14:textId="77777777" w:rsidR="00D40A0F" w:rsidRPr="00267248" w:rsidRDefault="00D40A0F" w:rsidP="00D40A0F">
      <w:pPr>
        <w:suppressLineNumbers/>
        <w:spacing w:after="0" w:line="240" w:lineRule="auto"/>
        <w:rPr>
          <w:sz w:val="19"/>
          <w:szCs w:val="19"/>
        </w:rPr>
      </w:pPr>
    </w:p>
    <w:p w14:paraId="4BA2FD2B" w14:textId="77777777" w:rsidR="00D40A0F" w:rsidRPr="00267248" w:rsidRDefault="00D40A0F" w:rsidP="00D40A0F">
      <w:pPr>
        <w:suppressLineNumbers/>
        <w:spacing w:after="0" w:line="240" w:lineRule="auto"/>
        <w:rPr>
          <w:sz w:val="19"/>
          <w:szCs w:val="19"/>
        </w:rPr>
      </w:pPr>
    </w:p>
    <w:p w14:paraId="46D74432" w14:textId="77777777" w:rsidR="00D40A0F" w:rsidRPr="00267248" w:rsidRDefault="00D40A0F" w:rsidP="00D40A0F">
      <w:pPr>
        <w:suppressLineNumbers/>
        <w:spacing w:after="0" w:line="240" w:lineRule="auto"/>
        <w:rPr>
          <w:sz w:val="24"/>
          <w:szCs w:val="24"/>
        </w:rPr>
      </w:pPr>
    </w:p>
    <w:p w14:paraId="4B600961" w14:textId="77777777" w:rsidR="00D40A0F" w:rsidRPr="00267248" w:rsidRDefault="00D40A0F" w:rsidP="00D40A0F">
      <w:pPr>
        <w:rPr>
          <w:sz w:val="19"/>
          <w:szCs w:val="19"/>
        </w:rPr>
      </w:pPr>
    </w:p>
    <w:p w14:paraId="3E54B890" w14:textId="77777777" w:rsidR="00D40A0F" w:rsidRPr="00267248" w:rsidRDefault="00D40A0F" w:rsidP="00D40A0F">
      <w:pPr>
        <w:rPr>
          <w:sz w:val="19"/>
          <w:szCs w:val="19"/>
        </w:rPr>
      </w:pPr>
    </w:p>
    <w:p w14:paraId="53393C7C" w14:textId="77777777" w:rsidR="00D40A0F" w:rsidRPr="00267248" w:rsidRDefault="00D40A0F" w:rsidP="00D40A0F">
      <w:pPr>
        <w:rPr>
          <w:sz w:val="19"/>
          <w:szCs w:val="19"/>
        </w:rPr>
      </w:pPr>
    </w:p>
    <w:p w14:paraId="55D24886" w14:textId="77777777" w:rsidR="00D40A0F" w:rsidRPr="00267248" w:rsidRDefault="00D40A0F" w:rsidP="00D40A0F">
      <w:pPr>
        <w:rPr>
          <w:sz w:val="19"/>
          <w:szCs w:val="19"/>
        </w:rPr>
      </w:pPr>
    </w:p>
    <w:p w14:paraId="7F351099" w14:textId="77777777" w:rsidR="00D40A0F" w:rsidRPr="00267248" w:rsidRDefault="00D40A0F" w:rsidP="00D40A0F">
      <w:pPr>
        <w:rPr>
          <w:sz w:val="19"/>
          <w:szCs w:val="19"/>
        </w:rPr>
      </w:pPr>
    </w:p>
    <w:p w14:paraId="31CAA835" w14:textId="77777777" w:rsidR="00D40A0F" w:rsidRPr="00267248" w:rsidRDefault="00D40A0F" w:rsidP="00D40A0F">
      <w:pPr>
        <w:rPr>
          <w:sz w:val="19"/>
          <w:szCs w:val="19"/>
        </w:rPr>
      </w:pPr>
    </w:p>
    <w:p w14:paraId="46A3BF03" w14:textId="77777777" w:rsidR="00D40A0F" w:rsidRPr="00267248" w:rsidRDefault="00D40A0F" w:rsidP="00D40A0F">
      <w:pPr>
        <w:rPr>
          <w:sz w:val="19"/>
          <w:szCs w:val="19"/>
        </w:rPr>
      </w:pPr>
    </w:p>
    <w:p w14:paraId="12E3B40E" w14:textId="77777777" w:rsidR="00D40A0F" w:rsidRPr="00267248" w:rsidRDefault="00D40A0F" w:rsidP="00D40A0F">
      <w:pPr>
        <w:rPr>
          <w:sz w:val="19"/>
          <w:szCs w:val="19"/>
        </w:rPr>
      </w:pPr>
    </w:p>
    <w:p w14:paraId="447F2805" w14:textId="77777777" w:rsidR="00D40A0F" w:rsidRPr="00267248" w:rsidRDefault="00D40A0F" w:rsidP="00D40A0F">
      <w:pPr>
        <w:rPr>
          <w:sz w:val="19"/>
          <w:szCs w:val="19"/>
        </w:rPr>
      </w:pPr>
    </w:p>
    <w:p w14:paraId="5D2F24BA" w14:textId="77777777" w:rsidR="00D40A0F" w:rsidRPr="00267248" w:rsidRDefault="00D40A0F" w:rsidP="00D40A0F">
      <w:pPr>
        <w:rPr>
          <w:sz w:val="19"/>
          <w:szCs w:val="19"/>
        </w:rPr>
      </w:pPr>
    </w:p>
    <w:p w14:paraId="74A0D666" w14:textId="77777777" w:rsidR="00D40A0F" w:rsidRPr="00267248" w:rsidRDefault="00D40A0F" w:rsidP="00D40A0F">
      <w:pPr>
        <w:rPr>
          <w:sz w:val="19"/>
          <w:szCs w:val="19"/>
        </w:rPr>
      </w:pPr>
    </w:p>
    <w:p w14:paraId="594DF74C" w14:textId="77777777" w:rsidR="00D40A0F" w:rsidRPr="00267248" w:rsidRDefault="00D40A0F" w:rsidP="00D40A0F">
      <w:pPr>
        <w:rPr>
          <w:sz w:val="19"/>
          <w:szCs w:val="19"/>
        </w:rPr>
      </w:pPr>
    </w:p>
    <w:p w14:paraId="1F14FC59" w14:textId="77777777" w:rsidR="00D40A0F" w:rsidRPr="00267248" w:rsidRDefault="00D40A0F" w:rsidP="00D40A0F">
      <w:pPr>
        <w:rPr>
          <w:sz w:val="19"/>
          <w:szCs w:val="19"/>
        </w:rPr>
      </w:pPr>
    </w:p>
    <w:p w14:paraId="03219EBA" w14:textId="77777777" w:rsidR="00D40A0F" w:rsidRPr="00267248" w:rsidRDefault="00D40A0F" w:rsidP="00D40A0F">
      <w:pPr>
        <w:rPr>
          <w:sz w:val="19"/>
          <w:szCs w:val="19"/>
        </w:rPr>
      </w:pPr>
    </w:p>
    <w:p w14:paraId="3BD3087B" w14:textId="77777777" w:rsidR="00D40A0F" w:rsidRPr="00267248" w:rsidRDefault="00D40A0F" w:rsidP="00D40A0F">
      <w:pPr>
        <w:rPr>
          <w:sz w:val="19"/>
          <w:szCs w:val="19"/>
        </w:rPr>
      </w:pPr>
    </w:p>
    <w:p w14:paraId="29F93865" w14:textId="77777777" w:rsidR="00D40A0F" w:rsidRPr="00267248" w:rsidRDefault="00D40A0F" w:rsidP="00D40A0F">
      <w:pPr>
        <w:rPr>
          <w:sz w:val="19"/>
          <w:szCs w:val="19"/>
        </w:rPr>
      </w:pPr>
    </w:p>
    <w:p w14:paraId="33FAC28D" w14:textId="77777777" w:rsidR="00D40A0F" w:rsidRDefault="00D40A0F"/>
    <w:sectPr w:rsidR="00D40A0F" w:rsidSect="00D40A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0F"/>
    <w:rsid w:val="006354F9"/>
    <w:rsid w:val="00764920"/>
    <w:rsid w:val="00D4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68BE2"/>
  <w15:chartTrackingRefBased/>
  <w15:docId w15:val="{B5B3B609-74DA-43A7-B1CD-77D72B3A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Eilis Murphy</dc:creator>
  <cp:keywords/>
  <dc:description/>
  <cp:lastModifiedBy>Eilis Murphy</cp:lastModifiedBy>
  <cp:revision>2</cp:revision>
  <dcterms:created xsi:type="dcterms:W3CDTF">2020-07-01T10:37:00Z</dcterms:created>
  <dcterms:modified xsi:type="dcterms:W3CDTF">2020-07-01T10:37:00Z</dcterms:modified>
</cp:coreProperties>
</file>