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8212" w14:textId="5CB7C943" w:rsidR="00EE2B54" w:rsidRPr="00B84603" w:rsidRDefault="00FD39DF" w:rsidP="00EE2B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S1 Fig</w:t>
      </w:r>
      <w:r w:rsidR="00EE2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Cumulative Incidence Curves of Length of Stay to Discharge by Infection</w:t>
      </w:r>
      <w:r w:rsidR="00205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Type</w:t>
      </w:r>
    </w:p>
    <w:p w14:paraId="3649D391" w14:textId="77777777" w:rsidR="00EE2B54" w:rsidRDefault="00EE2B54" w:rsidP="00EE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63226" w14:textId="77777777" w:rsidR="00EE2B54" w:rsidRDefault="00EE2B54" w:rsidP="00EE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4945BD5" wp14:editId="0A93D858">
            <wp:extent cx="6351826" cy="4990012"/>
            <wp:effectExtent l="0" t="0" r="0" b="0"/>
            <wp:docPr id="19" name="image1.png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1826" cy="499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EB8CB" w14:textId="77777777" w:rsidR="00EE2B54" w:rsidRDefault="00EE2B54" w:rsidP="00EE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4072E" w14:textId="12D11CA4" w:rsidR="00EE2B54" w:rsidRDefault="00EE2B54" w:rsidP="00EE2B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Cumulative incidence curves of length of stay to discharge estimated using a competing risks survival analysis model.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event of interest was defined as discharge to home or a post-acute care facility. Competing risks were defined as discharge against medical advice, transfer to another acute care hospital, or in-hospital death. Gray’s </w:t>
      </w:r>
      <w:r w:rsidR="0065572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was used to assess for statistically significant differences in cumulative incidence between the </w:t>
      </w:r>
      <w:r w:rsidR="00B22B5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cohorts.</w:t>
      </w:r>
      <w:r w:rsidR="0072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Shaded regions</w:t>
      </w:r>
      <w:r w:rsidR="000D0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 95% confidence bounds.</w:t>
      </w:r>
    </w:p>
    <w:p w14:paraId="6F5BEB7B" w14:textId="77777777" w:rsidR="00FB01DF" w:rsidRDefault="00FB01DF"/>
    <w:sectPr w:rsidR="00FB01DF" w:rsidSect="008B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54"/>
    <w:rsid w:val="000D050D"/>
    <w:rsid w:val="0018233D"/>
    <w:rsid w:val="00205BD6"/>
    <w:rsid w:val="002C4395"/>
    <w:rsid w:val="00655722"/>
    <w:rsid w:val="00724588"/>
    <w:rsid w:val="008B7D2E"/>
    <w:rsid w:val="008C52CC"/>
    <w:rsid w:val="00974986"/>
    <w:rsid w:val="00A17B57"/>
    <w:rsid w:val="00B22B57"/>
    <w:rsid w:val="00C06257"/>
    <w:rsid w:val="00EE2B54"/>
    <w:rsid w:val="00F66ED7"/>
    <w:rsid w:val="00FB01DF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11002"/>
  <w15:chartTrackingRefBased/>
  <w15:docId w15:val="{DB6C0279-617F-0D4B-B3A2-3BAB9A5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2B54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3D"/>
    <w:rPr>
      <w:rFonts w:ascii="Times New Roman" w:eastAsia="Arial" w:hAnsi="Times New Roman" w:cs="Times New Roman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June-Ho,M.D.</dc:creator>
  <cp:keywords/>
  <dc:description/>
  <cp:lastModifiedBy>Kim, June-Ho,M.D.</cp:lastModifiedBy>
  <cp:revision>7</cp:revision>
  <dcterms:created xsi:type="dcterms:W3CDTF">2020-06-22T05:01:00Z</dcterms:created>
  <dcterms:modified xsi:type="dcterms:W3CDTF">2020-07-17T03:16:00Z</dcterms:modified>
</cp:coreProperties>
</file>