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FBE3" w14:textId="524DFE90" w:rsidR="00F0078C" w:rsidRPr="008E0D28" w:rsidRDefault="00F0078C" w:rsidP="00F0078C">
      <w:pPr>
        <w:spacing w:line="360" w:lineRule="auto"/>
        <w:jc w:val="both"/>
        <w:rPr>
          <w:rFonts w:eastAsia="ScalaLancetPro" w:cstheme="minorHAnsi"/>
          <w:b/>
        </w:rPr>
      </w:pPr>
      <w:r>
        <w:rPr>
          <w:rFonts w:eastAsia="ScalaLancetPro" w:cstheme="minorHAnsi"/>
          <w:b/>
        </w:rPr>
        <w:t xml:space="preserve">S2 Text : </w:t>
      </w:r>
      <w:r w:rsidRPr="008E0D28">
        <w:rPr>
          <w:rFonts w:eastAsia="ScalaLancetPro" w:cstheme="minorHAnsi"/>
          <w:b/>
        </w:rPr>
        <w:t xml:space="preserve">Qualitative </w:t>
      </w:r>
      <w:r>
        <w:rPr>
          <w:rFonts w:eastAsia="ScalaLancetPro" w:cstheme="minorHAnsi"/>
          <w:b/>
        </w:rPr>
        <w:t>exploration of patient and professional perceptions methods</w:t>
      </w:r>
    </w:p>
    <w:p w14:paraId="531E1B64" w14:textId="77777777" w:rsidR="00F0078C" w:rsidRPr="00140633" w:rsidRDefault="00F0078C" w:rsidP="00F0078C">
      <w:pPr>
        <w:spacing w:line="360" w:lineRule="auto"/>
        <w:jc w:val="both"/>
        <w:rPr>
          <w:rFonts w:eastAsia="ScalaLancetPro" w:cstheme="minorHAnsi"/>
        </w:rPr>
      </w:pPr>
      <w:r w:rsidRPr="008E0D28">
        <w:rPr>
          <w:rFonts w:eastAsia="ScalaLancetPro" w:cstheme="minorHAnsi"/>
        </w:rPr>
        <w:t xml:space="preserve">In the eight practices, we undertook semi-structured face-to-face interviews with patients, GPs, practice nurses and HCAs, to explore perceptions of the telemonitoring </w:t>
      </w:r>
      <w:r w:rsidRPr="00103FD0">
        <w:rPr>
          <w:rFonts w:eastAsia="ScalaLancetPro" w:cstheme="minorHAnsi"/>
        </w:rPr>
        <w:t xml:space="preserve">intervention in terms of ease </w:t>
      </w:r>
      <w:r w:rsidRPr="00140633">
        <w:rPr>
          <w:rFonts w:eastAsia="ScalaLancetPro" w:cstheme="minorHAnsi"/>
        </w:rPr>
        <w:t>of use, organisational adoption and adaptation, barriers, facilitators and potential improvements to the implementation of Scale-Up BP.</w:t>
      </w:r>
      <w:r>
        <w:rPr>
          <w:rFonts w:eastAsia="ScalaLancetPro" w:cstheme="minorHAnsi"/>
        </w:rPr>
        <w:t xml:space="preserve"> </w:t>
      </w:r>
      <w:r w:rsidRPr="00140633">
        <w:rPr>
          <w:rFonts w:eastAsia="ScalaLancetPro" w:cstheme="minorHAnsi"/>
        </w:rPr>
        <w:t xml:space="preserve">These interviews took place in the first six months of the new service being launched. The topic guide, based on our previous work </w:t>
      </w:r>
      <w:r w:rsidRPr="00140633">
        <w:rPr>
          <w:rFonts w:eastAsia="ScalaLancetPro" w:cstheme="minorHAnsi"/>
        </w:rPr>
        <w:fldChar w:fldCharType="begin"/>
      </w:r>
      <w:r>
        <w:rPr>
          <w:rFonts w:eastAsia="ScalaLancetPro" w:cstheme="minorHAnsi"/>
        </w:rPr>
        <w:instrText xml:space="preserve"> ADDIN EN.CITE &lt;EndNote&gt;&lt;Cite&gt;&lt;Author&gt;Hanley&lt;/Author&gt;&lt;Year&gt;2013&lt;/Year&gt;&lt;RecNum&gt;82&lt;/RecNum&gt;&lt;DisplayText&gt;[2]&lt;/DisplayText&gt;&lt;record&gt;&lt;rec-number&gt;82&lt;/rec-number&gt;&lt;foreign-keys&gt;&lt;key app="EN" db-id="s25tewfrp0fv91esfeqxesd6eedpwftsews5" timestamp="1447158508"&gt;82&lt;/key&gt;&lt;/foreign-keys&gt;&lt;ref-type name="Journal Article"&gt;17&lt;/ref-type&gt;&lt;contributors&gt;&lt;authors&gt;&lt;author&gt;Hanley, J.&lt;/author&gt;&lt;author&gt;Ure, J.&lt;/author&gt;&lt;author&gt;Pagliari, C.&lt;/author&gt;&lt;author&gt;Sheikh, A.&lt;/author&gt;&lt;author&gt;McKinstry, B.&lt;/author&gt;&lt;/authors&gt;&lt;/contributors&gt;&lt;auth-address&gt;School of Nursing, Midwifery and Social Care, Edinburgh Napier University, Edinburgh, UK.&lt;/auth-address&gt;&lt;titles&gt;&lt;title&gt;Experiences of patients and professionals participating in the HITS home blood pressure telemonitoring trial: a qualitative study&lt;/title&gt;&lt;secondary-title&gt;BMJ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open&lt;/abbr-1&gt;&lt;/alt-periodical&gt;&lt;volume&gt;3&lt;/volume&gt;&lt;number&gt;5&lt;/number&gt;&lt;dates&gt;&lt;year&gt;2013&lt;/year&gt;&lt;/dates&gt;&lt;isbn&gt;2044-6055 (Electronic)&lt;/isbn&gt;&lt;accession-num&gt;23793649&lt;/accession-num&gt;&lt;urls&gt;&lt;related-urls&gt;&lt;url&gt;http://www.ncbi.nlm.nih.gov/pubmed/23793649&lt;/url&gt;&lt;/related-urls&gt;&lt;/urls&gt;&lt;custom2&gt;3657666&lt;/custom2&gt;&lt;electronic-resource-num&gt;10.1136/bmjopen-2013-002671&lt;/electronic-resource-num&gt;&lt;/record&gt;&lt;/Cite&gt;&lt;/EndNote&gt;</w:instrText>
      </w:r>
      <w:r w:rsidRPr="00140633">
        <w:rPr>
          <w:rFonts w:eastAsia="ScalaLancetPro" w:cstheme="minorHAnsi"/>
        </w:rPr>
        <w:fldChar w:fldCharType="separate"/>
      </w:r>
      <w:r>
        <w:rPr>
          <w:rFonts w:eastAsia="ScalaLancetPro" w:cstheme="minorHAnsi"/>
          <w:noProof/>
        </w:rPr>
        <w:t>[2]</w:t>
      </w:r>
      <w:r w:rsidRPr="00140633">
        <w:rPr>
          <w:rFonts w:eastAsia="ScalaLancetPro" w:cstheme="minorHAnsi"/>
        </w:rPr>
        <w:fldChar w:fldCharType="end"/>
      </w:r>
      <w:r>
        <w:rPr>
          <w:rFonts w:eastAsia="ScalaLancetPro" w:cstheme="minorHAnsi"/>
        </w:rPr>
        <w:t xml:space="preserve"> and theoretical considerations </w:t>
      </w:r>
      <w:r>
        <w:rPr>
          <w:rFonts w:eastAsia="ScalaLancetPro" w:cstheme="minorHAnsi"/>
        </w:rPr>
        <w:fldChar w:fldCharType="begin">
          <w:fldData xml:space="preserve">PEVuZE5vdGU+PENpdGU+PEF1dGhvcj5HcmVlbmhhbGdoPC9BdXRob3I+PFllYXI+MjAwNDwvWWVh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</w:fldData>
        </w:fldChar>
      </w:r>
      <w:r>
        <w:rPr>
          <w:rFonts w:eastAsia="ScalaLancetPro" w:cstheme="minorHAnsi"/>
        </w:rPr>
        <w:instrText xml:space="preserve"> ADDIN EN.CITE </w:instrText>
      </w:r>
      <w:r>
        <w:rPr>
          <w:rFonts w:eastAsia="ScalaLancetPro" w:cstheme="minorHAnsi"/>
        </w:rPr>
        <w:fldChar w:fldCharType="begin">
          <w:fldData xml:space="preserve">PEVuZE5vdGU+PENpdGU+PEF1dGhvcj5HcmVlbmhhbGdoPC9BdXRob3I+PFllYXI+MjAwNDwvWWVh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</w:fldData>
        </w:fldChar>
      </w:r>
      <w:r>
        <w:rPr>
          <w:rFonts w:eastAsia="ScalaLancetPro" w:cstheme="minorHAnsi"/>
        </w:rPr>
        <w:instrText xml:space="preserve"> ADDIN EN.CITE.DATA </w:instrText>
      </w:r>
      <w:r>
        <w:rPr>
          <w:rFonts w:eastAsia="ScalaLancetPro" w:cstheme="minorHAnsi"/>
        </w:rPr>
      </w:r>
      <w:r>
        <w:rPr>
          <w:rFonts w:eastAsia="ScalaLancetPro" w:cstheme="minorHAnsi"/>
        </w:rPr>
        <w:fldChar w:fldCharType="end"/>
      </w:r>
      <w:r>
        <w:rPr>
          <w:rFonts w:eastAsia="ScalaLancetPro" w:cstheme="minorHAnsi"/>
        </w:rPr>
      </w:r>
      <w:r>
        <w:rPr>
          <w:rFonts w:eastAsia="ScalaLancetPro" w:cstheme="minorHAnsi"/>
        </w:rPr>
        <w:fldChar w:fldCharType="separate"/>
      </w:r>
      <w:r>
        <w:rPr>
          <w:rFonts w:eastAsia="ScalaLancetPro" w:cstheme="minorHAnsi"/>
          <w:noProof/>
        </w:rPr>
        <w:t>[3, 4]</w:t>
      </w:r>
      <w:r>
        <w:rPr>
          <w:rFonts w:eastAsia="ScalaLancetPro" w:cstheme="minorHAnsi"/>
        </w:rPr>
        <w:fldChar w:fldCharType="end"/>
      </w:r>
      <w:r w:rsidRPr="00140633">
        <w:rPr>
          <w:rFonts w:eastAsia="ScalaLancetPro" w:cstheme="minorHAnsi"/>
        </w:rPr>
        <w:t xml:space="preserve">, was reviewed and iteratively refined. Patients were interviewed at home and HCPs at their workplace. The interviews were audio-recorded, </w:t>
      </w:r>
      <w:proofErr w:type="gramStart"/>
      <w:r w:rsidRPr="00140633">
        <w:rPr>
          <w:rFonts w:eastAsia="ScalaLancetPro" w:cstheme="minorHAnsi"/>
        </w:rPr>
        <w:t>transcribed</w:t>
      </w:r>
      <w:proofErr w:type="gramEnd"/>
      <w:r w:rsidRPr="00140633">
        <w:rPr>
          <w:rFonts w:eastAsia="ScalaLancetPro" w:cstheme="minorHAnsi"/>
        </w:rPr>
        <w:t xml:space="preserve"> and imported into NVivo version 11 (QSR International, Doncaster, Victoria, Australia).</w:t>
      </w:r>
      <w:r>
        <w:rPr>
          <w:rFonts w:eastAsia="ScalaLancetPro" w:cstheme="minorHAnsi"/>
        </w:rPr>
        <w:t xml:space="preserve"> Interviews continued until data saturation was believed to have been achieved.</w:t>
      </w:r>
      <w:r w:rsidRPr="00140633">
        <w:rPr>
          <w:rFonts w:eastAsia="ScalaLancetPro" w:cstheme="minorHAnsi"/>
        </w:rPr>
        <w:t xml:space="preserve"> After duplicate coding of a sample of the interview transcripts, an agreed coding framework was used for thematic analysis, using an interpretive descriptive approach </w:t>
      </w:r>
      <w:r w:rsidRPr="00140633">
        <w:rPr>
          <w:rFonts w:eastAsia="ScalaLancetPro" w:cstheme="minorHAnsi"/>
        </w:rPr>
        <w:fldChar w:fldCharType="begin"/>
      </w:r>
      <w:r>
        <w:rPr>
          <w:rFonts w:eastAsia="ScalaLancetPro" w:cstheme="minorHAnsi"/>
        </w:rPr>
        <w:instrText xml:space="preserve"> ADDIN EN.CITE &lt;EndNote&gt;&lt;Cite&gt;&lt;Author&gt;Thorne&lt;/Author&gt;&lt;Year&gt;2008&lt;/Year&gt;&lt;RecNum&gt;96&lt;/RecNum&gt;&lt;DisplayText&gt;[5]&lt;/DisplayText&gt;&lt;record&gt;&lt;rec-number&gt;96&lt;/rec-number&gt;&lt;foreign-keys&gt;&lt;key app="EN" db-id="s25tewfrp0fv91esfeqxesd6eedpwftsews5" timestamp="1448359718"&gt;96&lt;/key&gt;&lt;/foreign-keys&gt;&lt;ref-type name="Book"&gt;6&lt;/ref-type&gt;&lt;contributors&gt;&lt;authors&gt;&lt;author&gt;Thorne, S.&lt;/author&gt;&lt;/authors&gt;&lt;/contributors&gt;&lt;titles&gt;&lt;title&gt;Interpretive description&lt;/title&gt;&lt;/titles&gt;&lt;dates&gt;&lt;year&gt;2008&lt;/year&gt;&lt;/dates&gt;&lt;pub-location&gt;Walnut Creek, CA&lt;/pub-location&gt;&lt;publisher&gt;Left Coast Press&lt;/publisher&gt;&lt;urls&gt;&lt;/urls&gt;&lt;/record&gt;&lt;/Cite&gt;&lt;/EndNote&gt;</w:instrText>
      </w:r>
      <w:r w:rsidRPr="00140633">
        <w:rPr>
          <w:rFonts w:eastAsia="ScalaLancetPro" w:cstheme="minorHAnsi"/>
        </w:rPr>
        <w:fldChar w:fldCharType="separate"/>
      </w:r>
      <w:r>
        <w:rPr>
          <w:rFonts w:eastAsia="ScalaLancetPro" w:cstheme="minorHAnsi"/>
          <w:noProof/>
        </w:rPr>
        <w:t>[5]</w:t>
      </w:r>
      <w:r w:rsidRPr="00140633">
        <w:rPr>
          <w:rFonts w:eastAsia="ScalaLancetPro" w:cstheme="minorHAnsi"/>
        </w:rPr>
        <w:fldChar w:fldCharType="end"/>
      </w:r>
      <w:r w:rsidRPr="00140633">
        <w:rPr>
          <w:rFonts w:eastAsia="ScalaLancetPro" w:cstheme="minorHAnsi"/>
        </w:rPr>
        <w:t xml:space="preserve">. Constant comparison was undertaken to ensure that the analysis represented all views. </w:t>
      </w:r>
    </w:p>
    <w:p w14:paraId="450DA2B2" w14:textId="77777777" w:rsidR="00F0078C" w:rsidRPr="00140633" w:rsidRDefault="00F0078C" w:rsidP="00F0078C">
      <w:pPr>
        <w:spacing w:line="360" w:lineRule="auto"/>
        <w:jc w:val="both"/>
        <w:rPr>
          <w:rFonts w:cstheme="minorHAnsi"/>
        </w:rPr>
      </w:pPr>
      <w:r w:rsidRPr="00140633">
        <w:rPr>
          <w:rFonts w:cstheme="minorHAnsi"/>
        </w:rPr>
        <w:t xml:space="preserve">We observed and recorded as field notes the implementation process including how patients were recruited, how </w:t>
      </w:r>
      <w:proofErr w:type="spellStart"/>
      <w:r w:rsidRPr="00140633">
        <w:rPr>
          <w:rFonts w:cstheme="minorHAnsi"/>
        </w:rPr>
        <w:t>Docman</w:t>
      </w:r>
      <w:proofErr w:type="spellEnd"/>
      <w:r w:rsidRPr="00140633">
        <w:rPr>
          <w:rFonts w:cstheme="minorHAnsi"/>
        </w:rPr>
        <w:t xml:space="preserve"> reporting was managed and the action taken if patients submitted a critical BP reading. </w:t>
      </w:r>
      <w:proofErr w:type="gramStart"/>
      <w:r w:rsidRPr="00140633">
        <w:rPr>
          <w:rFonts w:cstheme="minorHAnsi"/>
        </w:rPr>
        <w:t>Specifically</w:t>
      </w:r>
      <w:proofErr w:type="gramEnd"/>
      <w:r w:rsidRPr="00140633">
        <w:rPr>
          <w:rFonts w:cstheme="minorHAnsi"/>
        </w:rPr>
        <w:t xml:space="preserve"> we </w:t>
      </w:r>
      <w:r>
        <w:rPr>
          <w:rFonts w:cstheme="minorHAnsi"/>
        </w:rPr>
        <w:t>noted</w:t>
      </w:r>
      <w:r w:rsidRPr="00140633">
        <w:rPr>
          <w:rFonts w:cstheme="minorHAnsi"/>
        </w:rPr>
        <w:t xml:space="preserve"> what action was recorded, if any, when patient values gave an average systolic BP &gt;</w:t>
      </w:r>
      <w:r>
        <w:rPr>
          <w:rFonts w:cstheme="minorHAnsi"/>
        </w:rPr>
        <w:t>160mmHg or &lt;</w:t>
      </w:r>
      <w:r w:rsidRPr="00140633">
        <w:rPr>
          <w:rFonts w:cstheme="minorHAnsi"/>
        </w:rPr>
        <w:t>90mmHg for up to 25 patients/practice.</w:t>
      </w:r>
    </w:p>
    <w:p w14:paraId="23E553AD" w14:textId="13C0290F" w:rsidR="003D33E5" w:rsidRPr="00F97649" w:rsidRDefault="003D33E5" w:rsidP="005E42A5">
      <w:pPr>
        <w:pStyle w:val="EndNoteBibliography"/>
        <w:spacing w:after="0" w:line="360" w:lineRule="auto"/>
      </w:pPr>
      <w:r>
        <w:t xml:space="preserve">1. </w:t>
      </w:r>
      <w:r w:rsidRPr="00F97649">
        <w:t>Hanley J, Ure J, Pagliari C, Sheikh A, McKinstry B. Experiences of patients and professionals participating in the HITS home blood pressure telemonitoring trial: a qualitative study. BMJ open. 2013;3(5). doi: 10.1136/bmjopen-2013-002671. PubMed PMID: 23793649; PubMed Central PMCID: PMC3657666.</w:t>
      </w:r>
    </w:p>
    <w:p w14:paraId="2FC7EB37" w14:textId="3D9F4077" w:rsidR="003D33E5" w:rsidRPr="00F97649" w:rsidRDefault="003D33E5" w:rsidP="005E42A5">
      <w:pPr>
        <w:pStyle w:val="EndNoteBibliography"/>
        <w:spacing w:after="0" w:line="360" w:lineRule="auto"/>
      </w:pPr>
      <w:r>
        <w:t>2</w:t>
      </w:r>
      <w:r w:rsidRPr="00F97649">
        <w:t>.</w:t>
      </w:r>
      <w:r>
        <w:t xml:space="preserve"> </w:t>
      </w:r>
      <w:r w:rsidRPr="00F97649">
        <w:t>Greenhalgh T, Robert G, Macfarlane F, Bate P, Kyriakidou O. Diffusion of innovations in service organizations: systematic review and recommendations. The Milbank quarterly. 2004;82(4):581-629. Epub 2004/12/15. doi: 10.1111/j.0887-378X.2004.00325.x. PubMed PMID: 15595944; PubMed Central PMCID: PMCPmc2690184.</w:t>
      </w:r>
    </w:p>
    <w:p w14:paraId="23976EE1" w14:textId="35FDDD00" w:rsidR="003D33E5" w:rsidRPr="00F97649" w:rsidRDefault="003D33E5" w:rsidP="005E42A5">
      <w:pPr>
        <w:pStyle w:val="EndNoteBibliography"/>
        <w:spacing w:after="0" w:line="360" w:lineRule="auto"/>
      </w:pPr>
      <w:r>
        <w:t>3</w:t>
      </w:r>
      <w:r w:rsidRPr="00F97649">
        <w:t>.</w:t>
      </w:r>
      <w:r>
        <w:t xml:space="preserve"> </w:t>
      </w:r>
      <w:r w:rsidRPr="00F97649">
        <w:t>Michie S, van Stralen MM, West R. The behaviour change wheel: A new method for characterising and designing behaviour change interventions. Implement Sci. 2011;6(1):42. doi: 10.1186/1748-5908-6-42.</w:t>
      </w:r>
    </w:p>
    <w:p w14:paraId="038575AC" w14:textId="4DCBE1BA" w:rsidR="003D33E5" w:rsidRPr="00F97649" w:rsidRDefault="003D33E5" w:rsidP="005E42A5">
      <w:pPr>
        <w:pStyle w:val="EndNoteBibliography"/>
        <w:spacing w:after="0" w:line="360" w:lineRule="auto"/>
      </w:pPr>
      <w:r>
        <w:t>4</w:t>
      </w:r>
      <w:r w:rsidRPr="00F97649">
        <w:t>.</w:t>
      </w:r>
      <w:r>
        <w:t xml:space="preserve"> </w:t>
      </w:r>
      <w:r w:rsidRPr="00F97649">
        <w:t>Thorne S. Interpretive description. Walnut Creek, CA: Left Coast Press; 2008.</w:t>
      </w:r>
    </w:p>
    <w:p w14:paraId="32000959" w14:textId="22160352" w:rsidR="003D33E5" w:rsidRPr="00F97649" w:rsidRDefault="003D33E5" w:rsidP="005E42A5">
      <w:pPr>
        <w:pStyle w:val="EndNoteBibliography"/>
        <w:spacing w:after="0" w:line="360" w:lineRule="auto"/>
      </w:pPr>
      <w:r>
        <w:t xml:space="preserve">5. </w:t>
      </w:r>
      <w:r w:rsidRPr="00F97649">
        <w:t>Miech EJ, Rattray NA, Flanagan ME, Damschroder L, Schmid AA, Damush TM. Inside help: An integrative review of champions in healthcare-related implementation. SAGE Open Med. 2018;6:2050312118773261. doi: 10.1177/2050312118773261. PubMed PMID: 29796266; PubMed Central PMCID: PMCPMC5960847.</w:t>
      </w:r>
    </w:p>
    <w:p w14:paraId="3886C354" w14:textId="77777777" w:rsidR="00312B7A" w:rsidRPr="00F0078C" w:rsidRDefault="00312B7A" w:rsidP="00F0078C"/>
    <w:sectPr w:rsidR="00312B7A" w:rsidRPr="00F00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8C"/>
    <w:rsid w:val="00312B7A"/>
    <w:rsid w:val="003D33E5"/>
    <w:rsid w:val="005E42A5"/>
    <w:rsid w:val="00F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2AFC"/>
  <w15:chartTrackingRefBased/>
  <w15:docId w15:val="{A04B8F56-12BA-423B-9020-42F183FA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8C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3D33E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33E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McKinstry</dc:creator>
  <cp:keywords/>
  <dc:description/>
  <cp:lastModifiedBy>Brian McKinstry</cp:lastModifiedBy>
  <cp:revision>3</cp:revision>
  <dcterms:created xsi:type="dcterms:W3CDTF">2020-04-17T15:29:00Z</dcterms:created>
  <dcterms:modified xsi:type="dcterms:W3CDTF">2020-04-18T10:31:00Z</dcterms:modified>
</cp:coreProperties>
</file>