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F" w:rsidRPr="00BE59AF" w:rsidRDefault="009116B8" w:rsidP="00BE59AF">
      <w:pPr>
        <w:keepNext/>
        <w:keepLines/>
        <w:spacing w:before="240" w:after="0"/>
        <w:outlineLvl w:val="0"/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</w:pPr>
      <w:bookmarkStart w:id="0" w:name="_Toc27750245"/>
      <w:r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>S4 Fig</w:t>
      </w:r>
      <w:r w:rsidR="00BE59AF" w:rsidRPr="00BE59AF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 xml:space="preserve">. Correlation between maternal gluten </w:t>
      </w:r>
      <w:r w:rsidR="00EE5A13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 xml:space="preserve">intake during pregnancy and </w:t>
      </w:r>
      <w:r w:rsidR="00BE59AF" w:rsidRPr="00BE59AF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 xml:space="preserve">child’s gluten intake at </w:t>
      </w:r>
      <w:r w:rsidR="00EE5A13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 xml:space="preserve">age </w:t>
      </w:r>
      <w:r w:rsidR="00BE59AF" w:rsidRPr="00BE59AF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>18 months</w:t>
      </w:r>
      <w:bookmarkEnd w:id="0"/>
      <w:r w:rsidR="00EE5A13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>.</w:t>
      </w:r>
      <w:bookmarkStart w:id="1" w:name="_GoBack"/>
      <w:bookmarkEnd w:id="1"/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59AF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929A283" wp14:editId="1D4C2B52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7086600" cy="5014207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01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59AF">
        <w:rPr>
          <w:rFonts w:ascii="Times New Roman" w:hAnsi="Times New Roman" w:cs="Times New Roman"/>
          <w:sz w:val="24"/>
          <w:szCs w:val="24"/>
          <w:lang w:val="en-GB"/>
        </w:rPr>
        <w:t> </w:t>
      </w: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59AF" w:rsidRPr="00BE59AF" w:rsidRDefault="00BE59AF" w:rsidP="00BE59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376E" w:rsidRPr="00BE59AF" w:rsidRDefault="0009376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9376E" w:rsidRPr="00BE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AF"/>
    <w:rsid w:val="0009376E"/>
    <w:rsid w:val="009116B8"/>
    <w:rsid w:val="00BE59AF"/>
    <w:rsid w:val="00E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46EF"/>
  <w15:chartTrackingRefBased/>
  <w15:docId w15:val="{D3247293-4067-4AB8-B9DC-37804A09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Lund-Blix, Nicolai Andre</dc:creator>
  <cp:keywords/>
  <dc:description/>
  <cp:lastModifiedBy>Lund-Blix, Nicolai Andre</cp:lastModifiedBy>
  <cp:revision>2</cp:revision>
  <dcterms:created xsi:type="dcterms:W3CDTF">2020-02-09T21:27:00Z</dcterms:created>
  <dcterms:modified xsi:type="dcterms:W3CDTF">2020-02-09T21:27:00Z</dcterms:modified>
</cp:coreProperties>
</file>