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486D" w14:textId="5E5DA462" w:rsidR="00410192" w:rsidRDefault="00D9457F" w:rsidP="005C2EE0">
      <w:pPr>
        <w:pStyle w:val="BodyText"/>
        <w:rPr>
          <w:rFonts w:ascii="Arial" w:eastAsia="Arial" w:hAnsi="Arial" w:cs="Times New Roman"/>
          <w:b/>
          <w:sz w:val="28"/>
          <w:szCs w:val="28"/>
          <w:lang w:bidi="ar-SA"/>
        </w:rPr>
      </w:pPr>
      <w:bookmarkStart w:id="0" w:name="OLE_LINK1"/>
      <w:bookmarkStart w:id="1" w:name="OLE_LINK2"/>
      <w:r w:rsidRPr="005C2EE0">
        <w:rPr>
          <w:rFonts w:asciiTheme="majorHAnsi" w:hAnsiTheme="majorHAnsi" w:cstheme="majorHAnsi"/>
          <w:b/>
          <w:sz w:val="28"/>
          <w:szCs w:val="28"/>
        </w:rPr>
        <w:t>S</w:t>
      </w:r>
      <w:r w:rsidR="004A5995">
        <w:rPr>
          <w:rFonts w:asciiTheme="majorHAnsi" w:hAnsiTheme="majorHAnsi" w:cstheme="majorHAnsi"/>
          <w:b/>
          <w:sz w:val="28"/>
          <w:szCs w:val="28"/>
        </w:rPr>
        <w:t>3</w:t>
      </w:r>
      <w:bookmarkStart w:id="2" w:name="_GoBack"/>
      <w:bookmarkEnd w:id="2"/>
      <w:r w:rsidRPr="005C2EE0">
        <w:rPr>
          <w:rFonts w:asciiTheme="majorHAnsi" w:hAnsiTheme="majorHAnsi" w:cstheme="majorHAnsi"/>
          <w:b/>
          <w:sz w:val="28"/>
          <w:szCs w:val="28"/>
        </w:rPr>
        <w:t xml:space="preserve"> </w:t>
      </w:r>
      <w:r w:rsidR="005C2EE0" w:rsidRPr="005C2EE0">
        <w:rPr>
          <w:rFonts w:asciiTheme="majorHAnsi" w:hAnsiTheme="majorHAnsi" w:cstheme="majorHAnsi"/>
          <w:b/>
          <w:sz w:val="28"/>
          <w:szCs w:val="28"/>
        </w:rPr>
        <w:t>Fig</w:t>
      </w:r>
      <w:r w:rsidR="002163B3">
        <w:rPr>
          <w:rFonts w:asciiTheme="majorHAnsi" w:hAnsiTheme="majorHAnsi" w:cstheme="majorHAnsi"/>
          <w:b/>
          <w:sz w:val="28"/>
          <w:szCs w:val="28"/>
        </w:rPr>
        <w:t>.</w:t>
      </w:r>
      <w:r w:rsidR="002214D9" w:rsidRPr="005C2EE0">
        <w:rPr>
          <w:rFonts w:ascii="Arial" w:eastAsia="Arial" w:hAnsi="Arial" w:cs="Times New Roman"/>
          <w:b/>
          <w:sz w:val="28"/>
          <w:szCs w:val="28"/>
          <w:lang w:bidi="ar-SA"/>
        </w:rPr>
        <w:t xml:space="preserve"> Monthly unadjusted weighted mean purchase</w:t>
      </w:r>
      <w:r w:rsidR="005C2EE0" w:rsidRPr="005C2EE0">
        <w:rPr>
          <w:rFonts w:ascii="Arial" w:eastAsia="Arial" w:hAnsi="Arial" w:cs="Times New Roman"/>
          <w:b/>
          <w:sz w:val="28"/>
          <w:szCs w:val="28"/>
          <w:vertAlign w:val="superscript"/>
          <w:lang w:bidi="ar-SA"/>
        </w:rPr>
        <w:t>1</w:t>
      </w:r>
      <w:r w:rsidR="002214D9" w:rsidRPr="005C2EE0">
        <w:rPr>
          <w:rFonts w:ascii="Arial" w:eastAsia="Arial" w:hAnsi="Arial" w:cs="Times New Roman"/>
          <w:b/>
          <w:sz w:val="28"/>
          <w:szCs w:val="28"/>
          <w:lang w:bidi="ar-SA"/>
        </w:rPr>
        <w:t xml:space="preserve"> volume </w:t>
      </w:r>
      <w:r w:rsidR="0042698B">
        <w:rPr>
          <w:rFonts w:ascii="Arial" w:eastAsia="Arial" w:hAnsi="Arial" w:cs="Times New Roman"/>
          <w:b/>
          <w:sz w:val="28"/>
          <w:szCs w:val="28"/>
          <w:lang w:bidi="ar-SA"/>
        </w:rPr>
        <w:br/>
      </w:r>
      <w:r w:rsidR="002214D9" w:rsidRPr="005C2EE0">
        <w:rPr>
          <w:rFonts w:ascii="Arial" w:eastAsia="Arial" w:hAnsi="Arial" w:cs="Times New Roman"/>
          <w:b/>
          <w:sz w:val="28"/>
          <w:szCs w:val="28"/>
          <w:lang w:bidi="ar-SA"/>
        </w:rPr>
        <w:t>of beverages, 2015–2017</w:t>
      </w:r>
    </w:p>
    <w:p w14:paraId="415FDC11" w14:textId="77777777" w:rsidR="0042698B" w:rsidRPr="005C2EE0" w:rsidRDefault="0042698B" w:rsidP="005C2EE0">
      <w:pPr>
        <w:pStyle w:val="BodyText"/>
        <w:rPr>
          <w:b/>
          <w:sz w:val="28"/>
          <w:szCs w:val="28"/>
        </w:rPr>
      </w:pPr>
    </w:p>
    <w:p w14:paraId="2D884B2C" w14:textId="186BABD3" w:rsidR="00410192" w:rsidRPr="00055936" w:rsidRDefault="00C013FD" w:rsidP="00410192">
      <w:pPr>
        <w:rPr>
          <w:b/>
          <w:sz w:val="24"/>
        </w:rPr>
      </w:pPr>
      <w:r w:rsidRPr="00055936">
        <w:rPr>
          <w:noProof/>
        </w:rPr>
        <w:drawing>
          <wp:inline distT="0" distB="0" distL="0" distR="0" wp14:anchorId="0B446DA5" wp14:editId="07C2A584">
            <wp:extent cx="4114800" cy="2468880"/>
            <wp:effectExtent l="0" t="0" r="0" b="0"/>
            <wp:docPr id="1" name="Chart 1">
              <a:extLst xmlns:a="http://schemas.openxmlformats.org/drawingml/2006/main">
                <a:ext uri="{FF2B5EF4-FFF2-40B4-BE49-F238E27FC236}">
                  <a16:creationId xmlns:a16="http://schemas.microsoft.com/office/drawing/2014/main" id="{67C3AFF9-ECC8-4C95-9839-1AAAE7A821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26DBF1D" w14:textId="42FE4B54" w:rsidR="00C013FD" w:rsidRPr="00055936" w:rsidRDefault="00C013FD" w:rsidP="00410192">
      <w:pPr>
        <w:rPr>
          <w:b/>
          <w:sz w:val="24"/>
        </w:rPr>
      </w:pPr>
      <w:r w:rsidRPr="00055936">
        <w:rPr>
          <w:noProof/>
        </w:rPr>
        <w:drawing>
          <wp:inline distT="0" distB="0" distL="0" distR="0" wp14:anchorId="195F2B11" wp14:editId="37C951DB">
            <wp:extent cx="4114800" cy="2472690"/>
            <wp:effectExtent l="0" t="0" r="0" b="3810"/>
            <wp:docPr id="12" name="Chart 12">
              <a:extLst xmlns:a="http://schemas.openxmlformats.org/drawingml/2006/main">
                <a:ext uri="{FF2B5EF4-FFF2-40B4-BE49-F238E27FC236}">
                  <a16:creationId xmlns:a16="http://schemas.microsoft.com/office/drawing/2014/main" id="{53BC007A-2D38-4519-963A-594517371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8BF4E1" w14:textId="2A2C4E64" w:rsidR="00C013FD" w:rsidRPr="00055936" w:rsidRDefault="00C013FD" w:rsidP="00410192">
      <w:pPr>
        <w:rPr>
          <w:b/>
          <w:sz w:val="24"/>
        </w:rPr>
      </w:pPr>
      <w:r w:rsidRPr="00055936">
        <w:rPr>
          <w:noProof/>
        </w:rPr>
        <w:drawing>
          <wp:inline distT="0" distB="0" distL="0" distR="0" wp14:anchorId="00C81AA3" wp14:editId="30040D8F">
            <wp:extent cx="4114800" cy="2468880"/>
            <wp:effectExtent l="0" t="0" r="0" b="7620"/>
            <wp:docPr id="15" name="Chart 15">
              <a:extLst xmlns:a="http://schemas.openxmlformats.org/drawingml/2006/main">
                <a:ext uri="{FF2B5EF4-FFF2-40B4-BE49-F238E27FC236}">
                  <a16:creationId xmlns:a16="http://schemas.microsoft.com/office/drawing/2014/main" id="{0096F3FB-33E6-4212-9AA3-1A927F403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7C1F26" w14:textId="77777777" w:rsidR="005C2EE0" w:rsidRDefault="005C2EE0" w:rsidP="00BF5A4D">
      <w:pPr>
        <w:ind w:left="90" w:hanging="90"/>
        <w:rPr>
          <w:rFonts w:ascii="Arial" w:eastAsia="Arial" w:hAnsi="Arial" w:cs="Times New Roman"/>
          <w:sz w:val="16"/>
          <w:szCs w:val="16"/>
          <w:lang w:bidi="ar-SA"/>
        </w:rPr>
      </w:pPr>
      <w:r w:rsidRPr="005C2EE0">
        <w:rPr>
          <w:rFonts w:ascii="Arial" w:eastAsia="Arial" w:hAnsi="Arial" w:cs="Times New Roman"/>
          <w:sz w:val="16"/>
          <w:szCs w:val="16"/>
          <w:vertAlign w:val="superscript"/>
          <w:lang w:bidi="ar-SA"/>
        </w:rPr>
        <w:t>1</w:t>
      </w:r>
      <w:r w:rsidR="002214D9" w:rsidRPr="00055936">
        <w:rPr>
          <w:rFonts w:ascii="Arial" w:eastAsia="Arial" w:hAnsi="Arial" w:cs="Times New Roman"/>
          <w:sz w:val="16"/>
          <w:szCs w:val="16"/>
          <w:lang w:bidi="ar-SA"/>
        </w:rPr>
        <w:t xml:space="preserve"> Purchase data provided by Kantar WorldPanel Chile.  </w:t>
      </w:r>
      <w:bookmarkStart w:id="3" w:name="_Hlk9948088"/>
    </w:p>
    <w:p w14:paraId="5BA4EF94" w14:textId="1230631C" w:rsidR="005C2EE0" w:rsidRDefault="005C2EE0" w:rsidP="00BF5A4D">
      <w:pPr>
        <w:ind w:left="90" w:hanging="90"/>
        <w:rPr>
          <w:rFonts w:ascii="Arial" w:eastAsia="Arial" w:hAnsi="Arial" w:cs="Times New Roman"/>
          <w:sz w:val="16"/>
          <w:szCs w:val="16"/>
          <w:lang w:bidi="ar-SA"/>
        </w:rPr>
      </w:pPr>
      <w:r w:rsidRPr="005C2EE0">
        <w:rPr>
          <w:rFonts w:ascii="Arial" w:eastAsia="Arial" w:hAnsi="Arial" w:cs="Times New Roman"/>
          <w:sz w:val="16"/>
          <w:szCs w:val="16"/>
          <w:vertAlign w:val="superscript"/>
          <w:lang w:bidi="ar-SA"/>
        </w:rPr>
        <w:t>2</w:t>
      </w:r>
      <w:r w:rsidR="002214D9" w:rsidRPr="00055936">
        <w:rPr>
          <w:rFonts w:ascii="Arial" w:eastAsia="Arial" w:hAnsi="Arial" w:cs="Times New Roman"/>
          <w:sz w:val="16"/>
          <w:szCs w:val="16"/>
          <w:lang w:bidi="ar-SA"/>
        </w:rPr>
        <w:t xml:space="preserve"> </w:t>
      </w:r>
      <w:r w:rsidR="00B00189" w:rsidRPr="00055936">
        <w:rPr>
          <w:rFonts w:ascii="Arial" w:eastAsia="Arial" w:hAnsi="Arial" w:cs="Times New Roman"/>
          <w:sz w:val="16"/>
          <w:szCs w:val="16"/>
          <w:lang w:bidi="ar-SA"/>
        </w:rPr>
        <w:t>High-in</w:t>
      </w:r>
      <w:r w:rsidR="002214D9" w:rsidRPr="00055936">
        <w:rPr>
          <w:rFonts w:ascii="Arial" w:eastAsia="Arial" w:hAnsi="Arial" w:cs="Times New Roman"/>
          <w:sz w:val="16"/>
          <w:szCs w:val="16"/>
          <w:lang w:bidi="ar-SA"/>
        </w:rPr>
        <w:t xml:space="preserve"> beverages were those subject to the Chilean Law of Labeling and </w:t>
      </w:r>
      <w:r w:rsidR="00F43968">
        <w:rPr>
          <w:rFonts w:ascii="Arial" w:eastAsia="Arial" w:hAnsi="Arial" w:cs="Times New Roman"/>
          <w:sz w:val="16"/>
          <w:szCs w:val="16"/>
          <w:lang w:bidi="ar-SA"/>
        </w:rPr>
        <w:t>Advertising due to containing</w:t>
      </w:r>
      <w:r w:rsidR="002214D9" w:rsidRPr="00055936">
        <w:rPr>
          <w:rFonts w:ascii="Arial" w:eastAsia="Arial" w:hAnsi="Arial" w:cs="Times New Roman"/>
          <w:sz w:val="16"/>
          <w:szCs w:val="16"/>
          <w:lang w:bidi="ar-SA"/>
        </w:rPr>
        <w:t xml:space="preserve"> added sugars, saturated fats, or salt and exceeding nutrient or energy thresholds.  </w:t>
      </w:r>
    </w:p>
    <w:p w14:paraId="648F6B62" w14:textId="272BDC14" w:rsidR="00F1284F" w:rsidRPr="00E55994" w:rsidRDefault="005C2EE0" w:rsidP="00B407DE">
      <w:pPr>
        <w:ind w:left="90" w:hanging="90"/>
        <w:rPr>
          <w:rFonts w:ascii="Arial" w:eastAsia="Arial" w:hAnsi="Arial" w:cs="Times New Roman"/>
          <w:sz w:val="16"/>
          <w:szCs w:val="16"/>
          <w:lang w:bidi="ar-SA"/>
        </w:rPr>
      </w:pPr>
      <w:r w:rsidRPr="005C2EE0">
        <w:rPr>
          <w:rFonts w:ascii="Arial" w:eastAsia="Arial" w:hAnsi="Arial" w:cs="Times New Roman"/>
          <w:sz w:val="16"/>
          <w:szCs w:val="16"/>
          <w:vertAlign w:val="superscript"/>
          <w:lang w:bidi="ar-SA"/>
        </w:rPr>
        <w:t>3</w:t>
      </w:r>
      <w:r w:rsidR="002214D9" w:rsidRPr="00055936">
        <w:rPr>
          <w:rFonts w:ascii="Arial" w:eastAsia="Arial" w:hAnsi="Arial" w:cs="Times New Roman"/>
          <w:sz w:val="16"/>
          <w:szCs w:val="16"/>
          <w:lang w:bidi="ar-SA"/>
        </w:rPr>
        <w:t xml:space="preserve"> </w:t>
      </w:r>
      <w:r w:rsidR="00B00189" w:rsidRPr="00055936">
        <w:rPr>
          <w:rFonts w:ascii="Arial" w:eastAsia="Arial" w:hAnsi="Arial" w:cs="Times New Roman"/>
          <w:sz w:val="16"/>
          <w:szCs w:val="16"/>
          <w:lang w:bidi="ar-SA"/>
        </w:rPr>
        <w:t>Not high-in</w:t>
      </w:r>
      <w:r w:rsidR="002214D9" w:rsidRPr="00055936">
        <w:rPr>
          <w:rFonts w:ascii="Arial" w:eastAsia="Arial" w:hAnsi="Arial" w:cs="Times New Roman"/>
          <w:sz w:val="16"/>
          <w:szCs w:val="16"/>
          <w:lang w:bidi="ar-SA"/>
        </w:rPr>
        <w:t xml:space="preserve"> beverages were not subject to the Chilean Law of Labeling and Advertising because they either did not contain added sugars, saturated fats, or salt or they did contain one or more of those added ingredients but did not exceed nutrient or energy thresholds.</w:t>
      </w:r>
      <w:bookmarkEnd w:id="0"/>
      <w:bookmarkEnd w:id="1"/>
      <w:bookmarkEnd w:id="3"/>
    </w:p>
    <w:sectPr w:rsidR="00F1284F" w:rsidRPr="00E55994" w:rsidSect="00B407DE">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7F2"/>
    <w:multiLevelType w:val="hybridMultilevel"/>
    <w:tmpl w:val="3A3C90D4"/>
    <w:lvl w:ilvl="0" w:tplc="A79CBFD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3ADF"/>
    <w:multiLevelType w:val="multilevel"/>
    <w:tmpl w:val="6AF0EB78"/>
    <w:lvl w:ilvl="0">
      <w:start w:val="5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8E4BE3"/>
    <w:multiLevelType w:val="hybridMultilevel"/>
    <w:tmpl w:val="EBDC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4F4A9D"/>
    <w:multiLevelType w:val="hybridMultilevel"/>
    <w:tmpl w:val="91284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A6C62"/>
    <w:multiLevelType w:val="hybridMultilevel"/>
    <w:tmpl w:val="997490CE"/>
    <w:lvl w:ilvl="0" w:tplc="ECAC2436">
      <w:start w:val="18"/>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021E"/>
    <w:multiLevelType w:val="hybridMultilevel"/>
    <w:tmpl w:val="A10E0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D8"/>
    <w:rsid w:val="00055936"/>
    <w:rsid w:val="00094B4A"/>
    <w:rsid w:val="000C0AD8"/>
    <w:rsid w:val="000C430C"/>
    <w:rsid w:val="000D3001"/>
    <w:rsid w:val="000E133A"/>
    <w:rsid w:val="000E71FF"/>
    <w:rsid w:val="001111FE"/>
    <w:rsid w:val="001404D2"/>
    <w:rsid w:val="00161C46"/>
    <w:rsid w:val="0017116B"/>
    <w:rsid w:val="00181300"/>
    <w:rsid w:val="00181BA5"/>
    <w:rsid w:val="00181F0E"/>
    <w:rsid w:val="0018704B"/>
    <w:rsid w:val="0018773D"/>
    <w:rsid w:val="00194290"/>
    <w:rsid w:val="001E08D4"/>
    <w:rsid w:val="002163B3"/>
    <w:rsid w:val="002214D9"/>
    <w:rsid w:val="002412D4"/>
    <w:rsid w:val="00243204"/>
    <w:rsid w:val="002479DA"/>
    <w:rsid w:val="00262BFA"/>
    <w:rsid w:val="002778BE"/>
    <w:rsid w:val="00283668"/>
    <w:rsid w:val="002A019E"/>
    <w:rsid w:val="002C5AB7"/>
    <w:rsid w:val="002E7C63"/>
    <w:rsid w:val="002E7DCC"/>
    <w:rsid w:val="002F2492"/>
    <w:rsid w:val="00311C10"/>
    <w:rsid w:val="003256D3"/>
    <w:rsid w:val="00326465"/>
    <w:rsid w:val="00363870"/>
    <w:rsid w:val="00385546"/>
    <w:rsid w:val="003A4449"/>
    <w:rsid w:val="003D0F09"/>
    <w:rsid w:val="00410192"/>
    <w:rsid w:val="0042698B"/>
    <w:rsid w:val="00433272"/>
    <w:rsid w:val="004339D1"/>
    <w:rsid w:val="0044041D"/>
    <w:rsid w:val="00463795"/>
    <w:rsid w:val="00475E9A"/>
    <w:rsid w:val="00476BA9"/>
    <w:rsid w:val="00476C2D"/>
    <w:rsid w:val="004805E3"/>
    <w:rsid w:val="00480ABF"/>
    <w:rsid w:val="00491550"/>
    <w:rsid w:val="00496B61"/>
    <w:rsid w:val="004A5995"/>
    <w:rsid w:val="004B2914"/>
    <w:rsid w:val="004B62E9"/>
    <w:rsid w:val="004D1824"/>
    <w:rsid w:val="004E1C0A"/>
    <w:rsid w:val="004F1D6C"/>
    <w:rsid w:val="004F7C1A"/>
    <w:rsid w:val="00514948"/>
    <w:rsid w:val="0056669B"/>
    <w:rsid w:val="005A04E7"/>
    <w:rsid w:val="005B0CAF"/>
    <w:rsid w:val="005C10E6"/>
    <w:rsid w:val="005C2EE0"/>
    <w:rsid w:val="005D7F34"/>
    <w:rsid w:val="005F5B89"/>
    <w:rsid w:val="0068203E"/>
    <w:rsid w:val="006D5316"/>
    <w:rsid w:val="006F0BBB"/>
    <w:rsid w:val="006F101C"/>
    <w:rsid w:val="00722326"/>
    <w:rsid w:val="00756E61"/>
    <w:rsid w:val="0077045F"/>
    <w:rsid w:val="007710C9"/>
    <w:rsid w:val="007A758D"/>
    <w:rsid w:val="007C38C8"/>
    <w:rsid w:val="007D4805"/>
    <w:rsid w:val="007E15A0"/>
    <w:rsid w:val="0080252E"/>
    <w:rsid w:val="00806D7A"/>
    <w:rsid w:val="00816843"/>
    <w:rsid w:val="008216C0"/>
    <w:rsid w:val="00857926"/>
    <w:rsid w:val="008604D2"/>
    <w:rsid w:val="0086765A"/>
    <w:rsid w:val="008768A8"/>
    <w:rsid w:val="00883079"/>
    <w:rsid w:val="008B1A0C"/>
    <w:rsid w:val="008C1AC4"/>
    <w:rsid w:val="008D5209"/>
    <w:rsid w:val="008E418C"/>
    <w:rsid w:val="008E5FDD"/>
    <w:rsid w:val="008E61B9"/>
    <w:rsid w:val="008F2664"/>
    <w:rsid w:val="008F38F8"/>
    <w:rsid w:val="00910716"/>
    <w:rsid w:val="00935358"/>
    <w:rsid w:val="00957CFA"/>
    <w:rsid w:val="00964218"/>
    <w:rsid w:val="009767CE"/>
    <w:rsid w:val="00982FD0"/>
    <w:rsid w:val="00984C61"/>
    <w:rsid w:val="009E5C8C"/>
    <w:rsid w:val="00A378D3"/>
    <w:rsid w:val="00A538BE"/>
    <w:rsid w:val="00A65D5F"/>
    <w:rsid w:val="00A710D8"/>
    <w:rsid w:val="00AA7C50"/>
    <w:rsid w:val="00AC3A94"/>
    <w:rsid w:val="00AD13D4"/>
    <w:rsid w:val="00AD3B27"/>
    <w:rsid w:val="00AF0722"/>
    <w:rsid w:val="00AF0C27"/>
    <w:rsid w:val="00B00189"/>
    <w:rsid w:val="00B407DE"/>
    <w:rsid w:val="00B6505B"/>
    <w:rsid w:val="00B956C5"/>
    <w:rsid w:val="00BA28BD"/>
    <w:rsid w:val="00BA34F8"/>
    <w:rsid w:val="00BB32CE"/>
    <w:rsid w:val="00BB79EB"/>
    <w:rsid w:val="00BF5A4D"/>
    <w:rsid w:val="00C013FD"/>
    <w:rsid w:val="00C52743"/>
    <w:rsid w:val="00C65B5A"/>
    <w:rsid w:val="00CF11C2"/>
    <w:rsid w:val="00D06372"/>
    <w:rsid w:val="00D14CBA"/>
    <w:rsid w:val="00D21691"/>
    <w:rsid w:val="00D35FDA"/>
    <w:rsid w:val="00D424B4"/>
    <w:rsid w:val="00D4565A"/>
    <w:rsid w:val="00D6521A"/>
    <w:rsid w:val="00D9457F"/>
    <w:rsid w:val="00DA0E05"/>
    <w:rsid w:val="00DA2B02"/>
    <w:rsid w:val="00DB395E"/>
    <w:rsid w:val="00DB7F32"/>
    <w:rsid w:val="00DC0094"/>
    <w:rsid w:val="00DE5F4A"/>
    <w:rsid w:val="00E26A16"/>
    <w:rsid w:val="00E55994"/>
    <w:rsid w:val="00E712D6"/>
    <w:rsid w:val="00E724E5"/>
    <w:rsid w:val="00ED2C0C"/>
    <w:rsid w:val="00ED2F2F"/>
    <w:rsid w:val="00EF0712"/>
    <w:rsid w:val="00EF3398"/>
    <w:rsid w:val="00F01B6A"/>
    <w:rsid w:val="00F1284F"/>
    <w:rsid w:val="00F12CB0"/>
    <w:rsid w:val="00F30DBF"/>
    <w:rsid w:val="00F3774D"/>
    <w:rsid w:val="00F37EC9"/>
    <w:rsid w:val="00F43968"/>
    <w:rsid w:val="00F82F05"/>
    <w:rsid w:val="00FB18CB"/>
    <w:rsid w:val="00FC1C85"/>
    <w:rsid w:val="00FD7252"/>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358"/>
  <w15:docId w15:val="{B4EB15AF-F46A-478F-9142-16C459F9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8B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0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DB7F32"/>
    <w:rPr>
      <w:sz w:val="16"/>
      <w:szCs w:val="16"/>
    </w:rPr>
  </w:style>
  <w:style w:type="paragraph" w:styleId="CommentText">
    <w:name w:val="annotation text"/>
    <w:basedOn w:val="Normal"/>
    <w:link w:val="CommentTextChar"/>
    <w:uiPriority w:val="99"/>
    <w:semiHidden/>
    <w:unhideWhenUsed/>
    <w:rsid w:val="00DB7F32"/>
    <w:rPr>
      <w:sz w:val="20"/>
      <w:szCs w:val="20"/>
    </w:rPr>
  </w:style>
  <w:style w:type="character" w:customStyle="1" w:styleId="CommentTextChar">
    <w:name w:val="Comment Text Char"/>
    <w:basedOn w:val="DefaultParagraphFont"/>
    <w:link w:val="CommentText"/>
    <w:uiPriority w:val="99"/>
    <w:semiHidden/>
    <w:rsid w:val="00DB7F3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B7F32"/>
    <w:rPr>
      <w:b/>
      <w:bCs/>
    </w:rPr>
  </w:style>
  <w:style w:type="character" w:customStyle="1" w:styleId="CommentSubjectChar">
    <w:name w:val="Comment Subject Char"/>
    <w:basedOn w:val="CommentTextChar"/>
    <w:link w:val="CommentSubject"/>
    <w:uiPriority w:val="99"/>
    <w:semiHidden/>
    <w:rsid w:val="00DB7F32"/>
    <w:rPr>
      <w:rFonts w:ascii="Calibri" w:eastAsia="Calibri" w:hAnsi="Calibri" w:cs="Calibri"/>
      <w:b/>
      <w:bCs/>
      <w:sz w:val="20"/>
      <w:szCs w:val="20"/>
      <w:lang w:bidi="en-US"/>
    </w:rPr>
  </w:style>
  <w:style w:type="table" w:styleId="TableGrid">
    <w:name w:val="Table Grid"/>
    <w:basedOn w:val="TableNormal"/>
    <w:uiPriority w:val="39"/>
    <w:rsid w:val="00A6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ebusey\Dropbox\Emily-UNCGFRP_owned\Lindsey\Chile%20SSB%20Paper\PLOS%20Med%20Revision\Copy%20of%20Revised%20Figures%20and%20Tables-18Oct_EB.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ebusey\Dropbox\Emily-UNCGFRP_owned\Lindsey\Chile%20SSB%20Paper\PLOS%20Med%20Revision\Copy%20of%20Revised%20Figures%20and%20Tables-18Oct_EB.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ebusey\Dropbox\Emily-UNCGFRP_owned\Lindsey\Chile%20SSB%20Paper\PLOS%20Med%20Revision\Copy%20of%20Revised%20Figures%20and%20Tables-18Oct_E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Arial" panose="020B0604020202020204" pitchFamily="34" charset="0"/>
                <a:cs typeface="Arial" panose="020B0604020202020204" pitchFamily="34" charset="0"/>
              </a:rPr>
              <a:t>High-in beverages</a:t>
            </a:r>
            <a:r>
              <a:rPr lang="en-US" sz="1200" b="0" i="0" u="none" strike="noStrike" baseline="30000">
                <a:effectLst/>
              </a:rPr>
              <a:t>2</a:t>
            </a:r>
            <a:r>
              <a:rPr lang="en-US" sz="1200" b="0" i="0" u="none" strike="noStrike" baseline="0"/>
              <a:t> </a:t>
            </a:r>
            <a:endParaRPr lang="en-US"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'Supp Fig 2'!$C$7</c:f>
              <c:strCache>
                <c:ptCount val="1"/>
                <c:pt idx="0">
                  <c:v>Regulated beverages</c:v>
                </c:pt>
              </c:strCache>
            </c:strRef>
          </c:tx>
          <c:spPr>
            <a:ln w="19050" cap="rnd">
              <a:solidFill>
                <a:schemeClr val="tx1">
                  <a:lumMod val="50000"/>
                  <a:lumOff val="50000"/>
                </a:schemeClr>
              </a:solidFill>
              <a:round/>
            </a:ln>
            <a:effectLst/>
          </c:spPr>
          <c:marker>
            <c:symbol val="none"/>
          </c:marker>
          <c:cat>
            <c:numRef>
              <c:f>'Supp Fig 2'!$A$8:$A$43</c:f>
              <c:numCache>
                <c:formatCode>mmm\.\ 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'Supp Fig 2'!$C$8:$C$43</c:f>
              <c:numCache>
                <c:formatCode>General</c:formatCode>
                <c:ptCount val="36"/>
                <c:pt idx="0">
                  <c:v>133.92320000000001</c:v>
                </c:pt>
                <c:pt idx="1">
                  <c:v>129.77099999999999</c:v>
                </c:pt>
                <c:pt idx="2">
                  <c:v>128.27610000000001</c:v>
                </c:pt>
                <c:pt idx="3">
                  <c:v>136.25229999999999</c:v>
                </c:pt>
                <c:pt idx="4">
                  <c:v>123.0889</c:v>
                </c:pt>
                <c:pt idx="5">
                  <c:v>118.6825</c:v>
                </c:pt>
                <c:pt idx="6">
                  <c:v>117.6024</c:v>
                </c:pt>
                <c:pt idx="7">
                  <c:v>112.5373</c:v>
                </c:pt>
                <c:pt idx="8">
                  <c:v>139.1635</c:v>
                </c:pt>
                <c:pt idx="9">
                  <c:v>125.29340000000001</c:v>
                </c:pt>
                <c:pt idx="10">
                  <c:v>126.51009999999999</c:v>
                </c:pt>
                <c:pt idx="11">
                  <c:v>142.6848</c:v>
                </c:pt>
                <c:pt idx="12">
                  <c:v>123.2277</c:v>
                </c:pt>
                <c:pt idx="13">
                  <c:v>121.5256</c:v>
                </c:pt>
                <c:pt idx="14">
                  <c:v>121.4563</c:v>
                </c:pt>
                <c:pt idx="15">
                  <c:v>116.7111</c:v>
                </c:pt>
                <c:pt idx="16">
                  <c:v>114.624</c:v>
                </c:pt>
                <c:pt idx="17">
                  <c:v>106.1671</c:v>
                </c:pt>
                <c:pt idx="18">
                  <c:v>76.255409999999998</c:v>
                </c:pt>
                <c:pt idx="19">
                  <c:v>83.204350000000005</c:v>
                </c:pt>
                <c:pt idx="20">
                  <c:v>109.1099</c:v>
                </c:pt>
                <c:pt idx="21">
                  <c:v>91.049350000000004</c:v>
                </c:pt>
                <c:pt idx="22">
                  <c:v>81.551069999999996</c:v>
                </c:pt>
                <c:pt idx="23">
                  <c:v>100.4079</c:v>
                </c:pt>
                <c:pt idx="24">
                  <c:v>92.906210000000002</c:v>
                </c:pt>
                <c:pt idx="25">
                  <c:v>101.44799999999999</c:v>
                </c:pt>
                <c:pt idx="26">
                  <c:v>84.312399999999997</c:v>
                </c:pt>
                <c:pt idx="27">
                  <c:v>78.947389999999999</c:v>
                </c:pt>
                <c:pt idx="28">
                  <c:v>80.349930000000001</c:v>
                </c:pt>
                <c:pt idx="29">
                  <c:v>77.132210000000001</c:v>
                </c:pt>
                <c:pt idx="30">
                  <c:v>77.356960000000001</c:v>
                </c:pt>
                <c:pt idx="31">
                  <c:v>76.621030000000005</c:v>
                </c:pt>
                <c:pt idx="32">
                  <c:v>90.517070000000004</c:v>
                </c:pt>
                <c:pt idx="33">
                  <c:v>78.860230000000001</c:v>
                </c:pt>
                <c:pt idx="34">
                  <c:v>84.411799999999999</c:v>
                </c:pt>
                <c:pt idx="35">
                  <c:v>79.088660000000004</c:v>
                </c:pt>
              </c:numCache>
            </c:numRef>
          </c:val>
          <c:smooth val="0"/>
          <c:extLst>
            <c:ext xmlns:c16="http://schemas.microsoft.com/office/drawing/2014/chart" uri="{C3380CC4-5D6E-409C-BE32-E72D297353CC}">
              <c16:uniqueId val="{00000000-2B83-4E72-B865-6CB3B633A944}"/>
            </c:ext>
          </c:extLst>
        </c:ser>
        <c:dLbls>
          <c:showLegendKey val="0"/>
          <c:showVal val="0"/>
          <c:showCatName val="0"/>
          <c:showSerName val="0"/>
          <c:showPercent val="0"/>
          <c:showBubbleSize val="0"/>
        </c:dLbls>
        <c:smooth val="0"/>
        <c:axId val="634412752"/>
        <c:axId val="557818072"/>
      </c:lineChart>
      <c:dateAx>
        <c:axId val="6344127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Month/year</a:t>
                </a:r>
              </a:p>
            </c:rich>
          </c:tx>
          <c:layout>
            <c:manualLayout>
              <c:xMode val="edge"/>
              <c:yMode val="edge"/>
              <c:x val="0.48035992028774183"/>
              <c:y val="0.905632513528401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mmm\ yyyy" sourceLinked="0"/>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57818072"/>
        <c:crosses val="autoZero"/>
        <c:auto val="1"/>
        <c:lblOffset val="100"/>
        <c:baseTimeUnit val="months"/>
      </c:dateAx>
      <c:valAx>
        <c:axId val="557818072"/>
        <c:scaling>
          <c:orientation val="minMax"/>
          <c:max val="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solidFill>
                    <a:latin typeface="Arial" panose="020B0604020202020204" pitchFamily="34" charset="0"/>
                    <a:ea typeface="+mn-ea"/>
                    <a:cs typeface="Arial" panose="020B0604020202020204" pitchFamily="34" charset="0"/>
                  </a:rPr>
                  <a:t>mL</a:t>
                </a:r>
                <a:r>
                  <a:rPr lang="en-US" sz="900">
                    <a:solidFill>
                      <a:sysClr val="windowText" lastClr="000000"/>
                    </a:solidFill>
                    <a:latin typeface="Arial" panose="020B0604020202020204" pitchFamily="34" charset="0"/>
                    <a:cs typeface="Arial" panose="020B0604020202020204" pitchFamily="34" charset="0"/>
                  </a:rPr>
                  <a:t>/capita/day purchased</a:t>
                </a:r>
              </a:p>
            </c:rich>
          </c:tx>
          <c:layout>
            <c:manualLayout>
              <c:xMode val="edge"/>
              <c:yMode val="edge"/>
              <c:x val="7.0987654320987647E-3"/>
              <c:y val="0.1518405106769061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12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Arial" panose="020B0604020202020204" pitchFamily="34" charset="0"/>
                <a:cs typeface="Arial" panose="020B0604020202020204" pitchFamily="34" charset="0"/>
              </a:rPr>
              <a:t>Not high-in beverages</a:t>
            </a:r>
            <a:r>
              <a:rPr lang="en-US" sz="1200" b="0" baseline="30000">
                <a:solidFill>
                  <a:sysClr val="windowText" lastClr="000000"/>
                </a:solidFill>
                <a:latin typeface="Arial" panose="020B0604020202020204" pitchFamily="34" charset="0"/>
                <a:cs typeface="Arial" panose="020B0604020202020204" pitchFamily="34" charset="0"/>
              </a:rPr>
              <a:t>3</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'Supp Fig 2'!$D$7</c:f>
              <c:strCache>
                <c:ptCount val="1"/>
                <c:pt idx="0">
                  <c:v>Unregulated beverages</c:v>
                </c:pt>
              </c:strCache>
            </c:strRef>
          </c:tx>
          <c:spPr>
            <a:ln w="19050" cap="rnd">
              <a:solidFill>
                <a:schemeClr val="tx1">
                  <a:lumMod val="50000"/>
                  <a:lumOff val="50000"/>
                </a:schemeClr>
              </a:solidFill>
              <a:round/>
            </a:ln>
            <a:effectLst/>
          </c:spPr>
          <c:marker>
            <c:symbol val="none"/>
          </c:marker>
          <c:cat>
            <c:numRef>
              <c:f>'Supp Fig 2'!$A$8:$A$43</c:f>
              <c:numCache>
                <c:formatCode>mmm\.\ 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'Supp Fig 2'!$D$8:$D$43</c:f>
              <c:numCache>
                <c:formatCode>General</c:formatCode>
                <c:ptCount val="36"/>
                <c:pt idx="0">
                  <c:v>281.73009999999999</c:v>
                </c:pt>
                <c:pt idx="1">
                  <c:v>303.77699999999999</c:v>
                </c:pt>
                <c:pt idx="2">
                  <c:v>293.68630000000002</c:v>
                </c:pt>
                <c:pt idx="3">
                  <c:v>319.17669999999998</c:v>
                </c:pt>
                <c:pt idx="4">
                  <c:v>295.9742</c:v>
                </c:pt>
                <c:pt idx="5">
                  <c:v>280.0453</c:v>
                </c:pt>
                <c:pt idx="6">
                  <c:v>301.31270000000001</c:v>
                </c:pt>
                <c:pt idx="7">
                  <c:v>277.0061</c:v>
                </c:pt>
                <c:pt idx="8">
                  <c:v>280.0573</c:v>
                </c:pt>
                <c:pt idx="9">
                  <c:v>286.26440000000002</c:v>
                </c:pt>
                <c:pt idx="10">
                  <c:v>298.89010000000002</c:v>
                </c:pt>
                <c:pt idx="11">
                  <c:v>279.40170000000001</c:v>
                </c:pt>
                <c:pt idx="12">
                  <c:v>265.83069999999998</c:v>
                </c:pt>
                <c:pt idx="13">
                  <c:v>287.35809999999998</c:v>
                </c:pt>
                <c:pt idx="14">
                  <c:v>306.00310000000002</c:v>
                </c:pt>
                <c:pt idx="15">
                  <c:v>310.2525</c:v>
                </c:pt>
                <c:pt idx="16">
                  <c:v>284.69880000000001</c:v>
                </c:pt>
                <c:pt idx="17">
                  <c:v>274.16210000000001</c:v>
                </c:pt>
                <c:pt idx="18">
                  <c:v>259.38380000000001</c:v>
                </c:pt>
                <c:pt idx="19">
                  <c:v>278.7183</c:v>
                </c:pt>
                <c:pt idx="20">
                  <c:v>282.40280000000001</c:v>
                </c:pt>
                <c:pt idx="21">
                  <c:v>284.45800000000003</c:v>
                </c:pt>
                <c:pt idx="22">
                  <c:v>286.3648</c:v>
                </c:pt>
                <c:pt idx="23">
                  <c:v>302.65120000000002</c:v>
                </c:pt>
                <c:pt idx="24">
                  <c:v>293.17610000000002</c:v>
                </c:pt>
                <c:pt idx="25">
                  <c:v>351.53500000000003</c:v>
                </c:pt>
                <c:pt idx="26">
                  <c:v>293.0376</c:v>
                </c:pt>
                <c:pt idx="27">
                  <c:v>278.36790000000002</c:v>
                </c:pt>
                <c:pt idx="28">
                  <c:v>279.75450000000001</c:v>
                </c:pt>
                <c:pt idx="29">
                  <c:v>279.26280000000003</c:v>
                </c:pt>
                <c:pt idx="30">
                  <c:v>303.0573</c:v>
                </c:pt>
                <c:pt idx="31">
                  <c:v>278.48689999999999</c:v>
                </c:pt>
                <c:pt idx="32">
                  <c:v>283.43889999999999</c:v>
                </c:pt>
                <c:pt idx="33">
                  <c:v>271.17500000000001</c:v>
                </c:pt>
                <c:pt idx="34">
                  <c:v>291.09820000000002</c:v>
                </c:pt>
                <c:pt idx="35">
                  <c:v>236.1138</c:v>
                </c:pt>
              </c:numCache>
            </c:numRef>
          </c:val>
          <c:smooth val="0"/>
          <c:extLst>
            <c:ext xmlns:c16="http://schemas.microsoft.com/office/drawing/2014/chart" uri="{C3380CC4-5D6E-409C-BE32-E72D297353CC}">
              <c16:uniqueId val="{00000000-8C87-400C-A1A5-0AB18E44CD74}"/>
            </c:ext>
          </c:extLst>
        </c:ser>
        <c:dLbls>
          <c:showLegendKey val="0"/>
          <c:showVal val="0"/>
          <c:showCatName val="0"/>
          <c:showSerName val="0"/>
          <c:showPercent val="0"/>
          <c:showBubbleSize val="0"/>
        </c:dLbls>
        <c:smooth val="0"/>
        <c:axId val="634412752"/>
        <c:axId val="557818072"/>
      </c:lineChart>
      <c:dateAx>
        <c:axId val="6344127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Month/year</a:t>
                </a:r>
              </a:p>
            </c:rich>
          </c:tx>
          <c:layout>
            <c:manualLayout>
              <c:xMode val="edge"/>
              <c:yMode val="edge"/>
              <c:x val="0.48035992028774183"/>
              <c:y val="0.9006418111449474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mmm\ yyyy" sourceLinked="0"/>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57818072"/>
        <c:crosses val="autoZero"/>
        <c:auto val="1"/>
        <c:lblOffset val="100"/>
        <c:baseTimeUnit val="months"/>
      </c:dateAx>
      <c:valAx>
        <c:axId val="557818072"/>
        <c:scaling>
          <c:orientation val="minMax"/>
          <c:max val="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solidFill>
                    <a:latin typeface="Arial" panose="020B0604020202020204" pitchFamily="34" charset="0"/>
                    <a:ea typeface="+mn-ea"/>
                    <a:cs typeface="Arial" panose="020B0604020202020204" pitchFamily="34" charset="0"/>
                  </a:rPr>
                  <a:t>mL</a:t>
                </a:r>
                <a:r>
                  <a:rPr lang="en-US" sz="900">
                    <a:solidFill>
                      <a:sysClr val="windowText" lastClr="000000"/>
                    </a:solidFill>
                    <a:latin typeface="Arial" panose="020B0604020202020204" pitchFamily="34" charset="0"/>
                    <a:cs typeface="Arial" panose="020B0604020202020204" pitchFamily="34" charset="0"/>
                  </a:rPr>
                  <a:t>/capita/day purchased</a:t>
                </a:r>
              </a:p>
            </c:rich>
          </c:tx>
          <c:layout>
            <c:manualLayout>
              <c:xMode val="edge"/>
              <c:yMode val="edge"/>
              <c:x val="4.012345679012346E-3"/>
              <c:y val="0.1671932187213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12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Arial" panose="020B0604020202020204" pitchFamily="34" charset="0"/>
                <a:cs typeface="Arial" panose="020B0604020202020204" pitchFamily="34" charset="0"/>
              </a:rPr>
              <a:t>Total beverages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'Supp Fig 2'!$E$7</c:f>
              <c:strCache>
                <c:ptCount val="1"/>
                <c:pt idx="0">
                  <c:v>Total beverages</c:v>
                </c:pt>
              </c:strCache>
            </c:strRef>
          </c:tx>
          <c:spPr>
            <a:ln w="19050" cap="rnd">
              <a:solidFill>
                <a:schemeClr val="tx1">
                  <a:lumMod val="50000"/>
                  <a:lumOff val="50000"/>
                </a:schemeClr>
              </a:solidFill>
              <a:round/>
            </a:ln>
            <a:effectLst/>
          </c:spPr>
          <c:marker>
            <c:symbol val="none"/>
          </c:marker>
          <c:cat>
            <c:numRef>
              <c:f>'Supp Fig 2'!$A$8:$A$43</c:f>
              <c:numCache>
                <c:formatCode>mmm\.\ 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'Supp Fig 2'!$E$8:$E$43</c:f>
              <c:numCache>
                <c:formatCode>General</c:formatCode>
                <c:ptCount val="36"/>
                <c:pt idx="0">
                  <c:v>415.65339999999998</c:v>
                </c:pt>
                <c:pt idx="1">
                  <c:v>433.548</c:v>
                </c:pt>
                <c:pt idx="2">
                  <c:v>421.9624</c:v>
                </c:pt>
                <c:pt idx="3">
                  <c:v>455.42910000000001</c:v>
                </c:pt>
                <c:pt idx="4">
                  <c:v>419.06299999999999</c:v>
                </c:pt>
                <c:pt idx="5">
                  <c:v>398.7278</c:v>
                </c:pt>
                <c:pt idx="6">
                  <c:v>418.9151</c:v>
                </c:pt>
                <c:pt idx="7">
                  <c:v>389.54340000000002</c:v>
                </c:pt>
                <c:pt idx="8">
                  <c:v>419.2208</c:v>
                </c:pt>
                <c:pt idx="9">
                  <c:v>411.55770000000001</c:v>
                </c:pt>
                <c:pt idx="10">
                  <c:v>425.40019999999998</c:v>
                </c:pt>
                <c:pt idx="11">
                  <c:v>422.0865</c:v>
                </c:pt>
                <c:pt idx="12">
                  <c:v>389.05840000000001</c:v>
                </c:pt>
                <c:pt idx="13">
                  <c:v>408.88369999999998</c:v>
                </c:pt>
                <c:pt idx="14">
                  <c:v>427.45949999999999</c:v>
                </c:pt>
                <c:pt idx="15">
                  <c:v>426.96359999999999</c:v>
                </c:pt>
                <c:pt idx="16">
                  <c:v>399.32279999999997</c:v>
                </c:pt>
                <c:pt idx="17">
                  <c:v>380.32929999999999</c:v>
                </c:pt>
                <c:pt idx="18">
                  <c:v>335.63920000000002</c:v>
                </c:pt>
                <c:pt idx="19">
                  <c:v>361.92270000000002</c:v>
                </c:pt>
                <c:pt idx="20">
                  <c:v>391.51280000000003</c:v>
                </c:pt>
                <c:pt idx="21">
                  <c:v>375.50740000000002</c:v>
                </c:pt>
                <c:pt idx="22">
                  <c:v>367.91590000000002</c:v>
                </c:pt>
                <c:pt idx="23">
                  <c:v>403.0591</c:v>
                </c:pt>
                <c:pt idx="24">
                  <c:v>386.08240000000001</c:v>
                </c:pt>
                <c:pt idx="25">
                  <c:v>452.98309999999998</c:v>
                </c:pt>
                <c:pt idx="26">
                  <c:v>377.35</c:v>
                </c:pt>
                <c:pt idx="27">
                  <c:v>357.31529999999998</c:v>
                </c:pt>
                <c:pt idx="28">
                  <c:v>360.10449999999997</c:v>
                </c:pt>
                <c:pt idx="29">
                  <c:v>356.39499999999998</c:v>
                </c:pt>
                <c:pt idx="30">
                  <c:v>380.41419999999999</c:v>
                </c:pt>
                <c:pt idx="31">
                  <c:v>355.108</c:v>
                </c:pt>
                <c:pt idx="32">
                  <c:v>373.95589999999999</c:v>
                </c:pt>
                <c:pt idx="33">
                  <c:v>350.03530000000001</c:v>
                </c:pt>
                <c:pt idx="34">
                  <c:v>375.51</c:v>
                </c:pt>
                <c:pt idx="35">
                  <c:v>315.20240000000001</c:v>
                </c:pt>
              </c:numCache>
            </c:numRef>
          </c:val>
          <c:smooth val="0"/>
          <c:extLst>
            <c:ext xmlns:c16="http://schemas.microsoft.com/office/drawing/2014/chart" uri="{C3380CC4-5D6E-409C-BE32-E72D297353CC}">
              <c16:uniqueId val="{00000000-1F9B-4B86-BFEC-A5DE41FA9E32}"/>
            </c:ext>
          </c:extLst>
        </c:ser>
        <c:dLbls>
          <c:showLegendKey val="0"/>
          <c:showVal val="0"/>
          <c:showCatName val="0"/>
          <c:showSerName val="0"/>
          <c:showPercent val="0"/>
          <c:showBubbleSize val="0"/>
        </c:dLbls>
        <c:smooth val="0"/>
        <c:axId val="634412752"/>
        <c:axId val="557818072"/>
      </c:lineChart>
      <c:dateAx>
        <c:axId val="6344127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Month/year</a:t>
                </a:r>
              </a:p>
            </c:rich>
          </c:tx>
          <c:layout>
            <c:manualLayout>
              <c:xMode val="edge"/>
              <c:yMode val="edge"/>
              <c:x val="0.48035992028774183"/>
              <c:y val="0.905632513528401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mmm\ yyyy" sourceLinked="0"/>
        <c:majorTickMark val="cross"/>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57818072"/>
        <c:crosses val="autoZero"/>
        <c:auto val="1"/>
        <c:lblOffset val="100"/>
        <c:baseTimeUnit val="months"/>
      </c:dateAx>
      <c:valAx>
        <c:axId val="557818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solidFill>
                    <a:latin typeface="Arial" panose="020B0604020202020204" pitchFamily="34" charset="0"/>
                    <a:ea typeface="+mn-ea"/>
                    <a:cs typeface="Arial" panose="020B0604020202020204" pitchFamily="34" charset="0"/>
                  </a:rPr>
                  <a:t>mL</a:t>
                </a:r>
                <a:r>
                  <a:rPr lang="en-US" sz="900">
                    <a:solidFill>
                      <a:sysClr val="windowText" lastClr="000000"/>
                    </a:solidFill>
                    <a:latin typeface="Arial" panose="020B0604020202020204" pitchFamily="34" charset="0"/>
                    <a:cs typeface="Arial" panose="020B0604020202020204" pitchFamily="34" charset="0"/>
                  </a:rPr>
                  <a:t>/capita/day purchased</a:t>
                </a:r>
              </a:p>
            </c:rich>
          </c:tx>
          <c:layout>
            <c:manualLayout>
              <c:xMode val="edge"/>
              <c:yMode val="edge"/>
              <c:x val="4.012345679012346E-3"/>
              <c:y val="0.162128576520527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12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0.53461</cdr:x>
      <cdr:y>0.15556</cdr:y>
    </cdr:from>
    <cdr:to>
      <cdr:x>0.53461</cdr:x>
      <cdr:y>0.78815</cdr:y>
    </cdr:to>
    <cdr:cxnSp macro="">
      <cdr:nvCxnSpPr>
        <cdr:cNvPr id="2" name="Straight Connector 1"/>
        <cdr:cNvCxnSpPr/>
      </cdr:nvCxnSpPr>
      <cdr:spPr>
        <a:xfrm xmlns:a="http://schemas.openxmlformats.org/drawingml/2006/main">
          <a:off x="2199818" y="384048"/>
          <a:ext cx="0" cy="156179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0.53451</cdr:x>
      <cdr:y>0.15219</cdr:y>
    </cdr:from>
    <cdr:to>
      <cdr:x>0.53451</cdr:x>
      <cdr:y>0.78381</cdr:y>
    </cdr:to>
    <cdr:cxnSp macro="">
      <cdr:nvCxnSpPr>
        <cdr:cNvPr id="2" name="Straight Connector 1"/>
        <cdr:cNvCxnSpPr/>
      </cdr:nvCxnSpPr>
      <cdr:spPr>
        <a:xfrm xmlns:a="http://schemas.openxmlformats.org/drawingml/2006/main">
          <a:off x="2199410" y="376326"/>
          <a:ext cx="0" cy="156179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0.53441</cdr:x>
      <cdr:y>0.14634</cdr:y>
    </cdr:from>
    <cdr:to>
      <cdr:x>0.53441</cdr:x>
      <cdr:y>0.77893</cdr:y>
    </cdr:to>
    <cdr:cxnSp macro="">
      <cdr:nvCxnSpPr>
        <cdr:cNvPr id="2" name="Straight Connector 1"/>
        <cdr:cNvCxnSpPr/>
      </cdr:nvCxnSpPr>
      <cdr:spPr>
        <a:xfrm xmlns:a="http://schemas.openxmlformats.org/drawingml/2006/main">
          <a:off x="2199004" y="361289"/>
          <a:ext cx="0" cy="156179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FC66-AAA3-4045-B79C-59854DDE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Lindsey</dc:creator>
  <cp:lastModifiedBy>Busey, Emily</cp:lastModifiedBy>
  <cp:revision>5</cp:revision>
  <dcterms:created xsi:type="dcterms:W3CDTF">2019-12-10T19:19:00Z</dcterms:created>
  <dcterms:modified xsi:type="dcterms:W3CDTF">2019-12-17T15:38:00Z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Excel</vt:lpwstr>
  </property>
  <property fmtid="{D5CDD505-2E9C-101B-9397-08002B2CF9AE}" pid="4" name="LastSaved">
    <vt:filetime>2019-01-25T00:00:00Z</vt:filetime>
  </property>
</Properties>
</file>