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606" w:rsidRPr="00E81658" w:rsidRDefault="00EB2606" w:rsidP="00EB26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S8 Table</w:t>
      </w:r>
      <w:r w:rsidRPr="00E81658">
        <w:rPr>
          <w:rFonts w:ascii="Arial" w:hAnsi="Arial" w:cs="Arial"/>
          <w:b/>
        </w:rPr>
        <w:t xml:space="preserve">. Using </w:t>
      </w:r>
      <w:r>
        <w:rPr>
          <w:rFonts w:ascii="Arial" w:hAnsi="Arial" w:cs="Arial"/>
          <w:b/>
        </w:rPr>
        <w:t>modified INOSS</w:t>
      </w:r>
      <w:r w:rsidRPr="00E81658">
        <w:rPr>
          <w:rFonts w:ascii="Arial" w:hAnsi="Arial" w:cs="Arial"/>
          <w:b/>
        </w:rPr>
        <w:t xml:space="preserve"> case definition, comparison of the management of AFE </w:t>
      </w:r>
      <w:r>
        <w:rPr>
          <w:rFonts w:ascii="Arial" w:hAnsi="Arial" w:cs="Arial"/>
          <w:b/>
        </w:rPr>
        <w:t xml:space="preserve">cases </w:t>
      </w:r>
      <w:r w:rsidRPr="00E81658">
        <w:rPr>
          <w:rFonts w:ascii="Arial" w:hAnsi="Arial" w:cs="Arial"/>
          <w:b/>
        </w:rPr>
        <w:t xml:space="preserve">who died to those who survived and of </w:t>
      </w:r>
      <w:r>
        <w:rPr>
          <w:rFonts w:ascii="Arial" w:hAnsi="Arial" w:cs="Arial"/>
          <w:b/>
        </w:rPr>
        <w:t>AFE cases that</w:t>
      </w:r>
      <w:r w:rsidRPr="00E81658">
        <w:rPr>
          <w:rFonts w:ascii="Arial" w:hAnsi="Arial" w:cs="Arial"/>
          <w:b/>
        </w:rPr>
        <w:t xml:space="preserve"> had severe outcome to those that did not have severe outcome</w:t>
      </w:r>
    </w:p>
    <w:tbl>
      <w:tblPr>
        <w:tblStyle w:val="TableGrid"/>
        <w:tblpPr w:leftFromText="180" w:rightFromText="180" w:vertAnchor="page" w:horzAnchor="margin" w:tblpX="-142" w:tblpY="1591"/>
        <w:tblW w:w="1548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992"/>
        <w:gridCol w:w="1271"/>
        <w:gridCol w:w="1701"/>
        <w:gridCol w:w="1701"/>
        <w:gridCol w:w="1701"/>
        <w:gridCol w:w="1564"/>
        <w:gridCol w:w="1696"/>
        <w:gridCol w:w="1735"/>
      </w:tblGrid>
      <w:tr w:rsidR="00EB2606" w:rsidRPr="00C35651" w:rsidTr="00B00856"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EB2606" w:rsidRPr="00AE5CE8" w:rsidRDefault="00EB2606" w:rsidP="00B0085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No. (%)</w:t>
            </w:r>
            <w:r w:rsidRPr="00AE5CE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r w:rsidRPr="00AE5CE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of cases that died (n=42)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No. (%)</w:t>
            </w:r>
            <w:r w:rsidRPr="00AE5CE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r w:rsidRPr="00AE5CE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of cases that survived (n=10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0</w:t>
            </w:r>
            <w:r w:rsidRPr="00AE5CE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Unadjusted OR (95% CI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P-value</w:t>
            </w:r>
            <w:r w:rsidRPr="00AE5CE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Adjusted OR (95% CI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P-value</w:t>
            </w:r>
            <w:r w:rsidRPr="00AE5CE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)Ϯ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No. (%)</w:t>
            </w:r>
            <w:r w:rsidRPr="00AE5CE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r w:rsidRPr="00AE5CE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 of cases that had severe </w:t>
            </w:r>
            <w:proofErr w:type="spellStart"/>
            <w:r w:rsidRPr="00AE5CE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outcome</w:t>
            </w:r>
            <w:r w:rsidRPr="00AE5CE8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  <w:r w:rsidRPr="00AE5CE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(n=51)</w:t>
            </w:r>
            <w:r w:rsidRPr="00AE5CE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No. (%)</w:t>
            </w:r>
            <w:r w:rsidRPr="00AE5CE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r w:rsidRPr="00AE5CE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of cases  that did not have severe </w:t>
            </w:r>
            <w:proofErr w:type="spellStart"/>
            <w:r w:rsidRPr="00AE5CE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outcome</w:t>
            </w:r>
            <w:r w:rsidRPr="00AE5CE8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  <w:r w:rsidRPr="00AE5CE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(n=7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4</w:t>
            </w:r>
            <w:r w:rsidRPr="00AE5CE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)</w:t>
            </w:r>
            <w:r w:rsidRPr="00AE5CE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EB2606" w:rsidRDefault="00EB2606" w:rsidP="00B008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Unadjusted OR (95% CI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P-value</w:t>
            </w:r>
            <w:r w:rsidRPr="00AE5CE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)</w:t>
            </w:r>
          </w:p>
          <w:p w:rsidR="00EB2606" w:rsidRDefault="00EB2606" w:rsidP="00B00856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EB2606" w:rsidRPr="006F6355" w:rsidRDefault="00EB2606" w:rsidP="00B008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Adjusted OR (95% CI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P-value</w:t>
            </w:r>
            <w:r w:rsidRPr="00AE5CE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)Ϯ</w:t>
            </w:r>
          </w:p>
        </w:tc>
      </w:tr>
      <w:tr w:rsidR="00EB2606" w:rsidRPr="00C35651" w:rsidTr="00B00856">
        <w:tc>
          <w:tcPr>
            <w:tcW w:w="4112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EB2606" w:rsidRPr="00AE5CE8" w:rsidRDefault="00EB2606" w:rsidP="00B00856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Coagulation management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B2606" w:rsidRPr="00C35651" w:rsidTr="00B00856">
        <w:trPr>
          <w:trHeight w:val="150"/>
        </w:trPr>
        <w:tc>
          <w:tcPr>
            <w:tcW w:w="3120" w:type="dxa"/>
            <w:tcBorders>
              <w:top w:val="nil"/>
              <w:bottom w:val="nil"/>
              <w:right w:val="nil"/>
            </w:tcBorders>
          </w:tcPr>
          <w:p w:rsidR="00EB2606" w:rsidRPr="00AE5CE8" w:rsidRDefault="00EB2606" w:rsidP="00B0085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Whole 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blood or packed red cells given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33 (79)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98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(98)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1912DD" w:rsidRDefault="00EB2606" w:rsidP="00B008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0.0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8</w:t>
            </w:r>
            <w:r w:rsidRPr="00AE5CE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(0.01-0.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40, &lt;0.001</w:t>
            </w:r>
            <w:r w:rsidRPr="00AE5CE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1912DD" w:rsidRDefault="00EB2606" w:rsidP="00B008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0.07 (0.01-0.4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6, 0.002</w:t>
            </w:r>
            <w:r w:rsidRPr="00AE5CE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41 (80)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(99)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0.06 (0.00-0.4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3, 0.001</w:t>
            </w:r>
            <w:r w:rsidRPr="00AE5CE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</w:tcBorders>
          </w:tcPr>
          <w:p w:rsidR="00EB2606" w:rsidRPr="001912DD" w:rsidRDefault="00EB2606" w:rsidP="00B008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0.05 (0.00-0.4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6, 0.002</w:t>
            </w:r>
            <w:r w:rsidRPr="00AE5CE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EB2606" w:rsidRPr="00C35651" w:rsidTr="00B00856">
        <w:tc>
          <w:tcPr>
            <w:tcW w:w="3120" w:type="dxa"/>
            <w:tcBorders>
              <w:top w:val="nil"/>
              <w:bottom w:val="nil"/>
              <w:right w:val="nil"/>
            </w:tcBorders>
          </w:tcPr>
          <w:p w:rsidR="00EB2606" w:rsidRPr="00AE5CE8" w:rsidRDefault="00EB2606" w:rsidP="00B0085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Source of concentrated fibrinogen given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15 (36)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(71)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0.2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3</w:t>
            </w:r>
            <w:r w:rsidRPr="00AE5CE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(0.1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1</w:t>
            </w:r>
            <w:r w:rsidRPr="00AE5CE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-0.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49, &lt;0.001)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0.2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0</w:t>
            </w:r>
            <w:r w:rsidRPr="00AE5CE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(0.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08</w:t>
            </w:r>
            <w:r w:rsidRPr="00AE5CE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-0.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47, &lt;0.001</w:t>
            </w:r>
            <w:r w:rsidRPr="00AE5CE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18 (35)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(7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0.2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</w:t>
            </w:r>
            <w:r w:rsidRPr="00AE5CE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(0.10-0.4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6, &lt;0.001)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0.18 (0.07-0.4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3, &lt;0.001</w:t>
            </w:r>
            <w:r w:rsidRPr="00AE5CE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EB2606" w:rsidRPr="00C35651" w:rsidTr="00B00856">
        <w:trPr>
          <w:trHeight w:val="250"/>
        </w:trPr>
        <w:tc>
          <w:tcPr>
            <w:tcW w:w="3120" w:type="dxa"/>
            <w:tcBorders>
              <w:top w:val="nil"/>
              <w:bottom w:val="nil"/>
              <w:right w:val="nil"/>
            </w:tcBorders>
          </w:tcPr>
          <w:p w:rsidR="00EB2606" w:rsidRPr="00AE5CE8" w:rsidRDefault="00EB2606" w:rsidP="00B0085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Fresh frozen plasma given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23 (55)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(87)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0.18 (0.08-0.4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2, &lt;0.001</w:t>
            </w:r>
            <w:r w:rsidRPr="00AE5CE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0.16 (0.06-0.42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, &lt;0.001</w:t>
            </w:r>
            <w:r w:rsidRPr="00AE5CE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30 (59)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(88)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0.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</w:t>
            </w:r>
            <w:r w:rsidRPr="00AE5CE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(0.08-0.4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8, &lt;0.001</w:t>
            </w:r>
            <w:r w:rsidRPr="00AE5CE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0.19 (0.07-0.52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, 0.001</w:t>
            </w:r>
            <w:r w:rsidRPr="00AE5CE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EB2606" w:rsidRPr="00C35651" w:rsidTr="00B00856">
        <w:tc>
          <w:tcPr>
            <w:tcW w:w="3120" w:type="dxa"/>
            <w:tcBorders>
              <w:top w:val="nil"/>
              <w:bottom w:val="nil"/>
              <w:right w:val="nil"/>
            </w:tcBorders>
          </w:tcPr>
          <w:p w:rsidR="00EB2606" w:rsidRPr="00AE5CE8" w:rsidRDefault="00EB2606" w:rsidP="00B0085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Platelets given¥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11 (26)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(64)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0.2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0</w:t>
            </w:r>
            <w:r w:rsidRPr="00AE5CE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(0.09-0.4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5, &lt;0.001</w:t>
            </w:r>
            <w:r w:rsidRPr="00AE5CE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0.16 (0.06-0.3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8, &lt;0.001</w:t>
            </w:r>
            <w:r w:rsidRPr="00AE5CE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16 (31)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(6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0.2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5</w:t>
            </w:r>
            <w:r w:rsidRPr="00AE5CE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(0.1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</w:t>
            </w:r>
            <w:r w:rsidRPr="00AE5CE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-0.5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4, &lt;0.001</w:t>
            </w:r>
            <w:r w:rsidRPr="00AE5CE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0.1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9</w:t>
            </w:r>
            <w:r w:rsidRPr="00AE5CE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(0.08-0.4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5, &lt;0.001</w:t>
            </w:r>
            <w:r w:rsidRPr="00AE5CE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EB2606" w:rsidRPr="00C35651" w:rsidTr="00B00856">
        <w:tc>
          <w:tcPr>
            <w:tcW w:w="3120" w:type="dxa"/>
            <w:tcBorders>
              <w:top w:val="nil"/>
              <w:bottom w:val="nil"/>
              <w:right w:val="nil"/>
            </w:tcBorders>
          </w:tcPr>
          <w:p w:rsidR="00EB2606" w:rsidRPr="00AE5CE8" w:rsidRDefault="00EB2606" w:rsidP="00B0085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Factor </w:t>
            </w:r>
            <w:proofErr w:type="spellStart"/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VIIa</w:t>
            </w:r>
            <w:proofErr w:type="spellEnd"/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given¥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8 (20)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23 (23)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0.8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(0.3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1.97, 0.630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0.66 (0.25-1.7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0, 0.387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10 (20)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18 (2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0.7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(0.3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-1.8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3, 0.546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0.6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(0.2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-1.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78, 0.436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)</w:t>
            </w:r>
          </w:p>
        </w:tc>
      </w:tr>
      <w:tr w:rsidR="00EB2606" w:rsidRPr="00C35651" w:rsidTr="00B00856">
        <w:tc>
          <w:tcPr>
            <w:tcW w:w="3120" w:type="dxa"/>
            <w:tcBorders>
              <w:top w:val="nil"/>
              <w:bottom w:val="nil"/>
              <w:right w:val="nil"/>
            </w:tcBorders>
          </w:tcPr>
          <w:p w:rsidR="00EB2606" w:rsidRPr="00AE5CE8" w:rsidRDefault="00EB2606" w:rsidP="00B0085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Tranexamic</w:t>
            </w:r>
            <w:proofErr w:type="spellEnd"/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acid given¥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4 (10)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28 (29)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0.28 (0.09-0.85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, 0.025</w:t>
            </w:r>
            <w:r w:rsidRPr="00AE5CE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1912DD" w:rsidRDefault="00EB2606" w:rsidP="00B008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0.31 (0.10-0.99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, 0.048</w:t>
            </w:r>
            <w:r w:rsidRPr="00AE5CE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6 (12)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24 (32)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0.29 (0.11-0.78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, 0.014</w:t>
            </w:r>
            <w:r w:rsidRPr="00AE5CE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</w:tcBorders>
          </w:tcPr>
          <w:p w:rsidR="00EB2606" w:rsidRPr="001912DD" w:rsidRDefault="00EB2606" w:rsidP="00B0085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0.32 (0.11-0.92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, 0.034</w:t>
            </w:r>
            <w:r w:rsidRPr="00AE5CE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EB2606" w:rsidRPr="00C35651" w:rsidTr="00B00856">
        <w:tc>
          <w:tcPr>
            <w:tcW w:w="3120" w:type="dxa"/>
            <w:tcBorders>
              <w:top w:val="nil"/>
              <w:bottom w:val="nil"/>
              <w:right w:val="nil"/>
            </w:tcBorders>
          </w:tcPr>
          <w:p w:rsidR="00EB2606" w:rsidRPr="00AE5CE8" w:rsidRDefault="00EB2606" w:rsidP="00B00856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Surgical intervention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EB2606" w:rsidRPr="00C35651" w:rsidTr="00B00856">
        <w:tc>
          <w:tcPr>
            <w:tcW w:w="3120" w:type="dxa"/>
            <w:tcBorders>
              <w:top w:val="nil"/>
              <w:bottom w:val="nil"/>
              <w:right w:val="nil"/>
            </w:tcBorders>
          </w:tcPr>
          <w:p w:rsidR="00EB2606" w:rsidRPr="00AE5CE8" w:rsidRDefault="00EB2606" w:rsidP="00B0085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Hysterectomy performed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14 (33)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(35)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0.9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(0.4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1.99, 0.849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0.7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(0.32-1.6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5, 0.448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18 (35)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(3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1.0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(0.5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-2.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26, 0.861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0.8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(0.35-1.8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4, 0.605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)</w:t>
            </w:r>
          </w:p>
        </w:tc>
      </w:tr>
      <w:tr w:rsidR="00EB2606" w:rsidRPr="00C35651" w:rsidTr="00B00856">
        <w:tc>
          <w:tcPr>
            <w:tcW w:w="3120" w:type="dxa"/>
            <w:tcBorders>
              <w:top w:val="nil"/>
              <w:bottom w:val="nil"/>
              <w:right w:val="nil"/>
            </w:tcBorders>
          </w:tcPr>
          <w:p w:rsidR="00EB2606" w:rsidRPr="00AE5CE8" w:rsidRDefault="00EB2606" w:rsidP="00B0085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Intrauterine balloons used¥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4 (10)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(27)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0.3</w:t>
            </w: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1</w:t>
            </w:r>
            <w:r w:rsidRPr="00AE5CE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(0.10-0.9</w:t>
            </w: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5, 0.040</w:t>
            </w:r>
            <w:r w:rsidRPr="00AE5CE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0.3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(0.10-1.0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2, 0.054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6 (12)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(2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0.3</w:t>
            </w: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</w:t>
            </w:r>
            <w:r w:rsidRPr="00AE5CE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(0.13-0.9</w:t>
            </w: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5, 0.039</w:t>
            </w:r>
            <w:r w:rsidRPr="00AE5CE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0.37 (0.13-1.0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9, 0.071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)</w:t>
            </w:r>
          </w:p>
        </w:tc>
      </w:tr>
      <w:tr w:rsidR="00EB2606" w:rsidRPr="00C35651" w:rsidTr="00B00856">
        <w:tc>
          <w:tcPr>
            <w:tcW w:w="3120" w:type="dxa"/>
            <w:tcBorders>
              <w:top w:val="nil"/>
              <w:bottom w:val="nil"/>
              <w:right w:val="nil"/>
            </w:tcBorders>
          </w:tcPr>
          <w:p w:rsidR="00EB2606" w:rsidRPr="00AE5CE8" w:rsidRDefault="00EB2606" w:rsidP="00B0085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Intraabdominal</w:t>
            </w:r>
            <w:proofErr w:type="spellEnd"/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packing used¥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3 (8)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4 (4)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1.9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(0.2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11.80, 0.656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2.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47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(0.29-20.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48, 0.540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3 (6)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4 (5)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1.1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(0.16-7.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08, 1.000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1.4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(0.16-12.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11, 1.000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)</w:t>
            </w:r>
          </w:p>
        </w:tc>
      </w:tr>
      <w:tr w:rsidR="00EB2606" w:rsidRPr="00C35651" w:rsidTr="00B00856">
        <w:tc>
          <w:tcPr>
            <w:tcW w:w="3120" w:type="dxa"/>
            <w:tcBorders>
              <w:top w:val="nil"/>
              <w:bottom w:val="nil"/>
              <w:right w:val="nil"/>
            </w:tcBorders>
          </w:tcPr>
          <w:p w:rsidR="00EB2606" w:rsidRPr="00AE5CE8" w:rsidRDefault="00EB2606" w:rsidP="00B0085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Intrauterine packing used¥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2 (5)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5.20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(0.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26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313.55, 0.387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6.68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(0.2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569.22, 0.400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2 (4)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3.24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(0.1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195.70, 0.663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4.09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(0.1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366.15, 0.693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)</w:t>
            </w:r>
          </w:p>
        </w:tc>
      </w:tr>
      <w:tr w:rsidR="00EB2606" w:rsidRPr="00C35651" w:rsidTr="00B00856">
        <w:tc>
          <w:tcPr>
            <w:tcW w:w="3120" w:type="dxa"/>
            <w:tcBorders>
              <w:top w:val="nil"/>
              <w:bottom w:val="nil"/>
              <w:right w:val="nil"/>
            </w:tcBorders>
          </w:tcPr>
          <w:p w:rsidR="00EB2606" w:rsidRPr="00AE5CE8" w:rsidRDefault="00EB2606" w:rsidP="00B0085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B-lynch or other brace suture used¥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2 (5)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(1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0.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42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(0.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04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2.06, 0.425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0.4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(0.04-2.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57, 0.562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3 (6)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(1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0.4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(0.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08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2.03, 0.432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0.4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8 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(0.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07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2.44, 0.518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)</w:t>
            </w:r>
          </w:p>
        </w:tc>
      </w:tr>
      <w:tr w:rsidR="00EB2606" w:rsidRPr="00C35651" w:rsidTr="00B00856">
        <w:tc>
          <w:tcPr>
            <w:tcW w:w="3120" w:type="dxa"/>
            <w:tcBorders>
              <w:top w:val="nil"/>
              <w:bottom w:val="nil"/>
              <w:right w:val="nil"/>
            </w:tcBorders>
          </w:tcPr>
          <w:p w:rsidR="00EB2606" w:rsidRPr="00AE5CE8" w:rsidRDefault="00EB2606" w:rsidP="00B0085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Vessel ligation used¥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1 (3)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3 (3)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0.8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(0.02-10.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49, 1.000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1.0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(0.02-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18.70, 1.000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2 (4)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2 (3)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1.5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(0.11-2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1.73, 1.000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2.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55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(0.12-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54.54, 0.825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)</w:t>
            </w:r>
          </w:p>
        </w:tc>
      </w:tr>
      <w:tr w:rsidR="00EB2606" w:rsidRPr="00C35651" w:rsidTr="00B00856">
        <w:tc>
          <w:tcPr>
            <w:tcW w:w="3120" w:type="dxa"/>
            <w:tcBorders>
              <w:top w:val="nil"/>
              <w:bottom w:val="nil"/>
              <w:right w:val="nil"/>
            </w:tcBorders>
          </w:tcPr>
          <w:p w:rsidR="00EB2606" w:rsidRPr="00AE5CE8" w:rsidRDefault="00EB2606" w:rsidP="00B0085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Embolisation</w:t>
            </w:r>
            <w:proofErr w:type="spellEnd"/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used¥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3 (3)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0.6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(0-6.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15,   0.729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0.5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(0-6.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06,   0.647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2 (3)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0.6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(0-8.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46,   0.749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0.71 (0-12.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23, 0.814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)</w:t>
            </w:r>
          </w:p>
        </w:tc>
      </w:tr>
      <w:tr w:rsidR="00EB2606" w:rsidRPr="00C35651" w:rsidTr="00B00856">
        <w:tc>
          <w:tcPr>
            <w:tcW w:w="3120" w:type="dxa"/>
            <w:tcBorders>
              <w:top w:val="nil"/>
              <w:bottom w:val="nil"/>
              <w:right w:val="nil"/>
            </w:tcBorders>
          </w:tcPr>
          <w:p w:rsidR="00EB2606" w:rsidRPr="00AE5CE8" w:rsidRDefault="00EB2606" w:rsidP="00B00856">
            <w:pPr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Other management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EB2606" w:rsidRPr="00C35651" w:rsidTr="00B00856">
        <w:tc>
          <w:tcPr>
            <w:tcW w:w="3120" w:type="dxa"/>
            <w:tcBorders>
              <w:top w:val="nil"/>
              <w:bottom w:val="nil"/>
              <w:right w:val="nil"/>
            </w:tcBorders>
          </w:tcPr>
          <w:p w:rsidR="00EB2606" w:rsidRPr="00AE5CE8" w:rsidRDefault="00EB2606" w:rsidP="00B0085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Obstetrician &amp;/or </w:t>
            </w:r>
            <w:proofErr w:type="spellStart"/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anaesthetist</w:t>
            </w:r>
            <w:proofErr w:type="spellEnd"/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present at time of event¥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22 (59)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63 (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70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0.6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(0.2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-1.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39, 0.253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0.50 (0.21-1.21</w:t>
            </w:r>
            <w:r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, 0.121</w:t>
            </w:r>
            <w:r w:rsidRPr="00AE5CE8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)</w:t>
            </w:r>
          </w:p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27 (61)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45 (6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0.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78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(0.3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-1.7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2, 0.532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0.5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(0.2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-1.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38, 0.207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)</w:t>
            </w:r>
          </w:p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EB2606" w:rsidRPr="00C35651" w:rsidTr="00B00856">
        <w:tc>
          <w:tcPr>
            <w:tcW w:w="3120" w:type="dxa"/>
            <w:tcBorders>
              <w:top w:val="nil"/>
              <w:bottom w:val="nil"/>
              <w:right w:val="nil"/>
            </w:tcBorders>
          </w:tcPr>
          <w:p w:rsidR="00EB2606" w:rsidRPr="00AE5CE8" w:rsidRDefault="00EB2606" w:rsidP="00B0085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Obstetrician &amp;/or </w:t>
            </w:r>
            <w:proofErr w:type="spellStart"/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anaesthetist</w:t>
            </w:r>
            <w:proofErr w:type="spellEnd"/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present at time of event or arrived within 5 </w:t>
            </w:r>
            <w:proofErr w:type="spellStart"/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mins</w:t>
            </w:r>
            <w:proofErr w:type="spellEnd"/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¥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30 (79)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78 (8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0.7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(0.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28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-1.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, 0.503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0.4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(0.1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-1.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39, 0.168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)</w:t>
            </w:r>
          </w:p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37 (80)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56 (8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0.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88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(0.3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-2.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30, 0.796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0.5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(0.1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-1.6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0, 0.243</w:t>
            </w: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)</w:t>
            </w:r>
          </w:p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EB2606" w:rsidRPr="00C35651" w:rsidTr="00B00856">
        <w:tc>
          <w:tcPr>
            <w:tcW w:w="3120" w:type="dxa"/>
            <w:tcBorders>
              <w:top w:val="nil"/>
              <w:bottom w:val="single" w:sz="4" w:space="0" w:color="auto"/>
              <w:right w:val="nil"/>
            </w:tcBorders>
          </w:tcPr>
          <w:p w:rsidR="00EB2606" w:rsidRPr="00AE5CE8" w:rsidRDefault="00EB2606" w:rsidP="00B00856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5CE8">
              <w:rPr>
                <w:rFonts w:asciiTheme="minorHAnsi" w:hAnsiTheme="minorHAnsi"/>
                <w:color w:val="000000"/>
                <w:sz w:val="18"/>
                <w:szCs w:val="18"/>
              </w:rPr>
              <w:t>Plasma/blood exchange used¥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 (3)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6 (6)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0.41 (0.01-3.58, 0.728)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1.22 (0.02-16.64, 1.000)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1 (2)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5 (7)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0.30 (0.01-2.81, 0.486)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</w:tcBorders>
          </w:tcPr>
          <w:p w:rsidR="00EB2606" w:rsidRPr="00AE5CE8" w:rsidRDefault="00EB2606" w:rsidP="00B00856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0.83 (0.01-11.72, 1.000)</w:t>
            </w:r>
          </w:p>
        </w:tc>
      </w:tr>
    </w:tbl>
    <w:p w:rsidR="00EB2606" w:rsidRPr="001346C0" w:rsidRDefault="00EB2606" w:rsidP="00EB2606">
      <w:pPr>
        <w:rPr>
          <w:rFonts w:ascii="Arial" w:hAnsi="Arial" w:cs="Arial"/>
          <w:bCs/>
          <w:color w:val="000000"/>
          <w:sz w:val="18"/>
          <w:szCs w:val="18"/>
        </w:rPr>
      </w:pPr>
      <w:proofErr w:type="gramStart"/>
      <w:r w:rsidRPr="001346C0">
        <w:rPr>
          <w:rFonts w:ascii="Arial" w:hAnsi="Arial" w:cs="Arial"/>
          <w:bCs/>
          <w:color w:val="000000"/>
          <w:sz w:val="18"/>
          <w:szCs w:val="18"/>
          <w:vertAlign w:val="superscript"/>
        </w:rPr>
        <w:t>a</w:t>
      </w:r>
      <w:proofErr w:type="gramEnd"/>
      <w:r w:rsidRPr="001346C0">
        <w:rPr>
          <w:rFonts w:ascii="Arial" w:hAnsi="Arial" w:cs="Arial"/>
          <w:bCs/>
          <w:color w:val="000000"/>
          <w:sz w:val="18"/>
          <w:szCs w:val="18"/>
          <w:vertAlign w:val="superscript"/>
        </w:rPr>
        <w:t xml:space="preserve"> </w:t>
      </w:r>
      <w:r w:rsidRPr="001346C0">
        <w:rPr>
          <w:rFonts w:ascii="Arial" w:hAnsi="Arial" w:cs="Arial"/>
          <w:bCs/>
          <w:color w:val="000000"/>
          <w:sz w:val="18"/>
          <w:szCs w:val="18"/>
        </w:rPr>
        <w:t>Percentage of those with complete data</w:t>
      </w:r>
    </w:p>
    <w:p w:rsidR="00EB2606" w:rsidRPr="001346C0" w:rsidRDefault="00EB2606" w:rsidP="00EB2606">
      <w:pPr>
        <w:rPr>
          <w:rFonts w:ascii="Arial" w:hAnsi="Arial" w:cs="Arial"/>
          <w:sz w:val="18"/>
          <w:szCs w:val="18"/>
        </w:rPr>
      </w:pPr>
      <w:proofErr w:type="gramStart"/>
      <w:r w:rsidRPr="001346C0">
        <w:rPr>
          <w:rFonts w:ascii="Arial" w:hAnsi="Arial" w:cs="Arial"/>
          <w:sz w:val="18"/>
          <w:szCs w:val="18"/>
          <w:vertAlign w:val="superscript"/>
        </w:rPr>
        <w:lastRenderedPageBreak/>
        <w:t>b</w:t>
      </w:r>
      <w:proofErr w:type="gramEnd"/>
      <w:r w:rsidRPr="001346C0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1346C0">
        <w:rPr>
          <w:rFonts w:ascii="Arial" w:hAnsi="Arial" w:cs="Arial"/>
          <w:sz w:val="18"/>
          <w:szCs w:val="18"/>
        </w:rPr>
        <w:t>Died or had permanent neurological injury</w:t>
      </w:r>
    </w:p>
    <w:p w:rsidR="00EB2606" w:rsidRPr="001346C0" w:rsidRDefault="00EB2606" w:rsidP="00EB2606">
      <w:pPr>
        <w:rPr>
          <w:rFonts w:ascii="Arial" w:hAnsi="Arial" w:cs="Arial"/>
          <w:sz w:val="18"/>
          <w:szCs w:val="18"/>
        </w:rPr>
      </w:pPr>
      <w:proofErr w:type="gramStart"/>
      <w:r w:rsidRPr="001346C0">
        <w:rPr>
          <w:rFonts w:ascii="Arial" w:hAnsi="Arial" w:cs="Arial"/>
          <w:sz w:val="18"/>
          <w:szCs w:val="18"/>
          <w:vertAlign w:val="superscript"/>
        </w:rPr>
        <w:t>c</w:t>
      </w:r>
      <w:proofErr w:type="gramEnd"/>
      <w:r w:rsidRPr="001346C0">
        <w:rPr>
          <w:rFonts w:ascii="Arial" w:hAnsi="Arial" w:cs="Arial"/>
          <w:sz w:val="18"/>
          <w:szCs w:val="18"/>
        </w:rPr>
        <w:t xml:space="preserve"> Data on maternal morbidity only collected from 2014 in Australia</w:t>
      </w:r>
    </w:p>
    <w:p w:rsidR="00EB2606" w:rsidRPr="001346C0" w:rsidRDefault="00EB2606" w:rsidP="00EB2606">
      <w:pPr>
        <w:rPr>
          <w:rFonts w:ascii="Arial" w:hAnsi="Arial" w:cs="Arial"/>
          <w:bCs/>
          <w:color w:val="000000"/>
          <w:sz w:val="18"/>
          <w:szCs w:val="18"/>
        </w:rPr>
      </w:pPr>
      <w:r w:rsidRPr="001346C0">
        <w:rPr>
          <w:rFonts w:ascii="Arial" w:hAnsi="Arial" w:cs="Arial"/>
          <w:bCs/>
          <w:color w:val="000000"/>
          <w:sz w:val="18"/>
          <w:szCs w:val="18"/>
        </w:rPr>
        <w:t>Ϯ Adjusted for cardiac arrest at presentation</w:t>
      </w:r>
    </w:p>
    <w:p w:rsidR="00EB2606" w:rsidRPr="00C202A2" w:rsidRDefault="00EB2606" w:rsidP="00EB2606">
      <w:pPr>
        <w:rPr>
          <w:rFonts w:ascii="Arial" w:hAnsi="Arial" w:cs="Arial"/>
          <w:sz w:val="18"/>
          <w:szCs w:val="18"/>
        </w:rPr>
      </w:pPr>
      <w:proofErr w:type="gramStart"/>
      <w:r w:rsidRPr="00C202A2">
        <w:rPr>
          <w:rFonts w:ascii="Arial" w:hAnsi="Arial" w:cs="Arial"/>
          <w:sz w:val="18"/>
          <w:szCs w:val="18"/>
        </w:rPr>
        <w:t xml:space="preserve">¥Missing data/data not collected: </w:t>
      </w:r>
      <w:r>
        <w:rPr>
          <w:rFonts w:ascii="Arial" w:hAnsi="Arial" w:cs="Arial"/>
          <w:sz w:val="18"/>
          <w:szCs w:val="18"/>
        </w:rPr>
        <w:t>platelets n=1</w:t>
      </w:r>
      <w:r w:rsidRPr="00C202A2">
        <w:rPr>
          <w:rFonts w:ascii="Arial" w:hAnsi="Arial" w:cs="Arial"/>
          <w:sz w:val="18"/>
          <w:szCs w:val="18"/>
        </w:rPr>
        <w:t>, 0.</w:t>
      </w:r>
      <w:r>
        <w:rPr>
          <w:rFonts w:ascii="Arial" w:hAnsi="Arial" w:cs="Arial"/>
          <w:sz w:val="18"/>
          <w:szCs w:val="18"/>
        </w:rPr>
        <w:t>7</w:t>
      </w:r>
      <w:r w:rsidRPr="00C202A2">
        <w:rPr>
          <w:rFonts w:ascii="Arial" w:hAnsi="Arial" w:cs="Arial"/>
          <w:sz w:val="18"/>
          <w:szCs w:val="18"/>
        </w:rPr>
        <w:t>%</w:t>
      </w:r>
      <w:r>
        <w:rPr>
          <w:rFonts w:ascii="Arial" w:hAnsi="Arial" w:cs="Arial"/>
          <w:sz w:val="18"/>
          <w:szCs w:val="18"/>
        </w:rPr>
        <w:t xml:space="preserve"> </w:t>
      </w:r>
      <w:r w:rsidRPr="00C202A2">
        <w:rPr>
          <w:rFonts w:ascii="Arial" w:hAnsi="Arial" w:cs="Arial"/>
          <w:sz w:val="18"/>
          <w:szCs w:val="18"/>
        </w:rPr>
        <w:t>in died vs. survived &amp;</w:t>
      </w:r>
      <w:r>
        <w:rPr>
          <w:rFonts w:ascii="Arial" w:hAnsi="Arial" w:cs="Arial"/>
          <w:sz w:val="18"/>
          <w:szCs w:val="18"/>
        </w:rPr>
        <w:t xml:space="preserve"> n=1, 0.8% in </w:t>
      </w:r>
      <w:r w:rsidRPr="00C202A2">
        <w:rPr>
          <w:rFonts w:ascii="Arial" w:hAnsi="Arial" w:cs="Arial"/>
          <w:sz w:val="18"/>
          <w:szCs w:val="18"/>
        </w:rPr>
        <w:t>severe outcome vs. no severe</w:t>
      </w:r>
      <w:r>
        <w:rPr>
          <w:rFonts w:ascii="Arial" w:hAnsi="Arial" w:cs="Arial"/>
          <w:sz w:val="18"/>
          <w:szCs w:val="18"/>
        </w:rPr>
        <w:t xml:space="preserve"> analysis</w:t>
      </w:r>
      <w:r w:rsidRPr="00C202A2">
        <w:rPr>
          <w:rFonts w:ascii="Arial" w:hAnsi="Arial" w:cs="Arial"/>
          <w:sz w:val="18"/>
          <w:szCs w:val="18"/>
        </w:rPr>
        <w:t>; factor v11a n=</w:t>
      </w:r>
      <w:r>
        <w:rPr>
          <w:rFonts w:ascii="Arial" w:hAnsi="Arial" w:cs="Arial"/>
          <w:sz w:val="18"/>
          <w:szCs w:val="18"/>
        </w:rPr>
        <w:t>2</w:t>
      </w:r>
      <w:r w:rsidRPr="00C202A2">
        <w:rPr>
          <w:rFonts w:ascii="Arial" w:hAnsi="Arial" w:cs="Arial"/>
          <w:sz w:val="18"/>
          <w:szCs w:val="18"/>
        </w:rPr>
        <w:t>, 1.4% in died vs. survived &amp; n=2, 1.</w:t>
      </w:r>
      <w:r>
        <w:rPr>
          <w:rFonts w:ascii="Arial" w:hAnsi="Arial" w:cs="Arial"/>
          <w:sz w:val="18"/>
          <w:szCs w:val="18"/>
        </w:rPr>
        <w:t>6</w:t>
      </w:r>
      <w:r w:rsidRPr="00C202A2">
        <w:rPr>
          <w:rFonts w:ascii="Arial" w:hAnsi="Arial" w:cs="Arial"/>
          <w:sz w:val="18"/>
          <w:szCs w:val="18"/>
        </w:rPr>
        <w:t xml:space="preserve">% in severe outcome vs. no severe outcome analysis; </w:t>
      </w:r>
      <w:proofErr w:type="spellStart"/>
      <w:r w:rsidRPr="00C202A2">
        <w:rPr>
          <w:rFonts w:ascii="Arial" w:hAnsi="Arial" w:cs="Arial"/>
          <w:sz w:val="18"/>
          <w:szCs w:val="18"/>
        </w:rPr>
        <w:t>tranexamic</w:t>
      </w:r>
      <w:proofErr w:type="spellEnd"/>
      <w:r w:rsidRPr="00C202A2">
        <w:rPr>
          <w:rFonts w:ascii="Arial" w:hAnsi="Arial" w:cs="Arial"/>
          <w:sz w:val="18"/>
          <w:szCs w:val="18"/>
        </w:rPr>
        <w:t xml:space="preserve"> acid n=</w:t>
      </w:r>
      <w:r>
        <w:rPr>
          <w:rFonts w:ascii="Arial" w:hAnsi="Arial" w:cs="Arial"/>
          <w:sz w:val="18"/>
          <w:szCs w:val="18"/>
        </w:rPr>
        <w:t>4</w:t>
      </w:r>
      <w:r w:rsidRPr="00C202A2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2.8</w:t>
      </w:r>
      <w:r w:rsidRPr="00C202A2">
        <w:rPr>
          <w:rFonts w:ascii="Arial" w:hAnsi="Arial" w:cs="Arial"/>
          <w:sz w:val="18"/>
          <w:szCs w:val="18"/>
        </w:rPr>
        <w:t>% in died vs. survived &amp; n=</w:t>
      </w:r>
      <w:r>
        <w:rPr>
          <w:rFonts w:ascii="Arial" w:hAnsi="Arial" w:cs="Arial"/>
          <w:sz w:val="18"/>
          <w:szCs w:val="18"/>
        </w:rPr>
        <w:t>2</w:t>
      </w:r>
      <w:r w:rsidRPr="00C202A2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1.6</w:t>
      </w:r>
      <w:r w:rsidRPr="00C202A2">
        <w:rPr>
          <w:rFonts w:ascii="Arial" w:hAnsi="Arial" w:cs="Arial"/>
          <w:sz w:val="18"/>
          <w:szCs w:val="18"/>
        </w:rPr>
        <w:t xml:space="preserve">% in severe outcome vs. no severe outcome analysis; intrauterine balloons n=4, </w:t>
      </w:r>
      <w:r>
        <w:rPr>
          <w:rFonts w:ascii="Arial" w:hAnsi="Arial" w:cs="Arial"/>
          <w:sz w:val="18"/>
          <w:szCs w:val="18"/>
        </w:rPr>
        <w:t>2.8</w:t>
      </w:r>
      <w:r w:rsidRPr="00C202A2">
        <w:rPr>
          <w:rFonts w:ascii="Arial" w:hAnsi="Arial" w:cs="Arial"/>
          <w:sz w:val="18"/>
          <w:szCs w:val="18"/>
        </w:rPr>
        <w:t>% in died vs. survived &amp; n=2, 1.</w:t>
      </w:r>
      <w:r>
        <w:rPr>
          <w:rFonts w:ascii="Arial" w:hAnsi="Arial" w:cs="Arial"/>
          <w:sz w:val="18"/>
          <w:szCs w:val="18"/>
        </w:rPr>
        <w:t>6</w:t>
      </w:r>
      <w:r w:rsidRPr="00C202A2">
        <w:rPr>
          <w:rFonts w:ascii="Arial" w:hAnsi="Arial" w:cs="Arial"/>
          <w:sz w:val="18"/>
          <w:szCs w:val="18"/>
        </w:rPr>
        <w:t xml:space="preserve">% in severe outcome vs. no severe outcome analysis; </w:t>
      </w:r>
      <w:proofErr w:type="spellStart"/>
      <w:r w:rsidRPr="00C202A2">
        <w:rPr>
          <w:rFonts w:ascii="Arial" w:hAnsi="Arial" w:cs="Arial"/>
          <w:sz w:val="18"/>
          <w:szCs w:val="18"/>
        </w:rPr>
        <w:t>i</w:t>
      </w:r>
      <w:r w:rsidRPr="00C202A2">
        <w:rPr>
          <w:rFonts w:ascii="Arial" w:hAnsi="Arial" w:cs="Arial"/>
          <w:color w:val="000000"/>
          <w:sz w:val="18"/>
          <w:szCs w:val="18"/>
        </w:rPr>
        <w:t>ntraabdomina</w:t>
      </w:r>
      <w:r w:rsidRPr="00C202A2">
        <w:rPr>
          <w:rFonts w:ascii="Arial" w:hAnsi="Arial" w:cs="Arial"/>
          <w:sz w:val="18"/>
          <w:szCs w:val="18"/>
        </w:rPr>
        <w:t>l</w:t>
      </w:r>
      <w:proofErr w:type="spellEnd"/>
      <w:r w:rsidRPr="00C202A2">
        <w:rPr>
          <w:rFonts w:ascii="Arial" w:hAnsi="Arial" w:cs="Arial"/>
          <w:sz w:val="18"/>
          <w:szCs w:val="18"/>
        </w:rPr>
        <w:t xml:space="preserve"> packing n=4, </w:t>
      </w:r>
      <w:r>
        <w:rPr>
          <w:rFonts w:ascii="Arial" w:hAnsi="Arial" w:cs="Arial"/>
          <w:sz w:val="18"/>
          <w:szCs w:val="18"/>
        </w:rPr>
        <w:t>2.8</w:t>
      </w:r>
      <w:r w:rsidRPr="00C202A2">
        <w:rPr>
          <w:rFonts w:ascii="Arial" w:hAnsi="Arial" w:cs="Arial"/>
          <w:sz w:val="18"/>
          <w:szCs w:val="18"/>
        </w:rPr>
        <w:t>% in died vs. survived &amp; n=2, 1.</w:t>
      </w:r>
      <w:r>
        <w:rPr>
          <w:rFonts w:ascii="Arial" w:hAnsi="Arial" w:cs="Arial"/>
          <w:sz w:val="18"/>
          <w:szCs w:val="18"/>
        </w:rPr>
        <w:t>6</w:t>
      </w:r>
      <w:r w:rsidRPr="00C202A2">
        <w:rPr>
          <w:rFonts w:ascii="Arial" w:hAnsi="Arial" w:cs="Arial"/>
          <w:sz w:val="18"/>
          <w:szCs w:val="18"/>
        </w:rPr>
        <w:t xml:space="preserve">% in severe outcome vs. no severe outcome analysis; </w:t>
      </w:r>
      <w:r w:rsidRPr="00C202A2">
        <w:rPr>
          <w:rFonts w:ascii="Arial" w:hAnsi="Arial" w:cs="Arial"/>
          <w:color w:val="000000"/>
          <w:sz w:val="18"/>
          <w:szCs w:val="18"/>
        </w:rPr>
        <w:t>intrauterine packing n=</w:t>
      </w:r>
      <w:r>
        <w:rPr>
          <w:rFonts w:ascii="Arial" w:hAnsi="Arial" w:cs="Arial"/>
          <w:color w:val="000000"/>
          <w:sz w:val="18"/>
          <w:szCs w:val="18"/>
        </w:rPr>
        <w:t>8</w:t>
      </w:r>
      <w:r w:rsidRPr="00C202A2">
        <w:rPr>
          <w:rFonts w:ascii="Arial" w:hAnsi="Arial" w:cs="Arial"/>
          <w:color w:val="000000"/>
          <w:sz w:val="18"/>
          <w:szCs w:val="18"/>
        </w:rPr>
        <w:t>, 5.</w:t>
      </w:r>
      <w:r>
        <w:rPr>
          <w:rFonts w:ascii="Arial" w:hAnsi="Arial" w:cs="Arial"/>
          <w:color w:val="000000"/>
          <w:sz w:val="18"/>
          <w:szCs w:val="18"/>
        </w:rPr>
        <w:t>6</w:t>
      </w:r>
      <w:r w:rsidRPr="00C202A2">
        <w:rPr>
          <w:rFonts w:ascii="Arial" w:hAnsi="Arial" w:cs="Arial"/>
          <w:color w:val="000000"/>
          <w:sz w:val="18"/>
          <w:szCs w:val="18"/>
        </w:rPr>
        <w:t xml:space="preserve">% </w:t>
      </w:r>
      <w:r w:rsidRPr="00C202A2">
        <w:rPr>
          <w:rFonts w:ascii="Arial" w:hAnsi="Arial" w:cs="Arial"/>
          <w:sz w:val="18"/>
          <w:szCs w:val="18"/>
        </w:rPr>
        <w:t>in died vs. survived &amp; n=</w:t>
      </w:r>
      <w:r>
        <w:rPr>
          <w:rFonts w:ascii="Arial" w:hAnsi="Arial" w:cs="Arial"/>
          <w:sz w:val="18"/>
          <w:szCs w:val="18"/>
        </w:rPr>
        <w:t>6</w:t>
      </w:r>
      <w:r w:rsidRPr="00C202A2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4.8</w:t>
      </w:r>
      <w:r w:rsidRPr="00C202A2">
        <w:rPr>
          <w:rFonts w:ascii="Arial" w:hAnsi="Arial" w:cs="Arial"/>
          <w:sz w:val="18"/>
          <w:szCs w:val="18"/>
        </w:rPr>
        <w:t>% in severe outcome vs. no severe outcome analysis</w:t>
      </w:r>
      <w:r w:rsidRPr="00C202A2">
        <w:rPr>
          <w:rFonts w:ascii="Arial" w:hAnsi="Arial" w:cs="Arial"/>
          <w:color w:val="000000"/>
          <w:sz w:val="18"/>
          <w:szCs w:val="18"/>
        </w:rPr>
        <w:t xml:space="preserve"> (not collected in France); B-lynch or other brace suture n=4, </w:t>
      </w:r>
      <w:r>
        <w:rPr>
          <w:rFonts w:ascii="Arial" w:hAnsi="Arial" w:cs="Arial"/>
          <w:color w:val="000000"/>
          <w:sz w:val="18"/>
          <w:szCs w:val="18"/>
        </w:rPr>
        <w:t>2</w:t>
      </w:r>
      <w:r w:rsidRPr="00C202A2">
        <w:rPr>
          <w:rFonts w:ascii="Arial" w:hAnsi="Arial" w:cs="Arial"/>
          <w:color w:val="000000"/>
          <w:sz w:val="18"/>
          <w:szCs w:val="18"/>
        </w:rPr>
        <w:t xml:space="preserve">.8% </w:t>
      </w:r>
      <w:r w:rsidRPr="00C202A2">
        <w:rPr>
          <w:rFonts w:ascii="Arial" w:hAnsi="Arial" w:cs="Arial"/>
          <w:sz w:val="18"/>
          <w:szCs w:val="18"/>
        </w:rPr>
        <w:t>in died vs. survived &amp; n=2, 1.</w:t>
      </w:r>
      <w:r>
        <w:rPr>
          <w:rFonts w:ascii="Arial" w:hAnsi="Arial" w:cs="Arial"/>
          <w:sz w:val="18"/>
          <w:szCs w:val="18"/>
        </w:rPr>
        <w:t>6</w:t>
      </w:r>
      <w:r w:rsidRPr="00C202A2">
        <w:rPr>
          <w:rFonts w:ascii="Arial" w:hAnsi="Arial" w:cs="Arial"/>
          <w:sz w:val="18"/>
          <w:szCs w:val="18"/>
        </w:rPr>
        <w:t>% in severe outcome vs. no severe outcome analysis</w:t>
      </w:r>
      <w:r w:rsidRPr="00C202A2">
        <w:rPr>
          <w:rFonts w:ascii="Arial" w:hAnsi="Arial" w:cs="Arial"/>
          <w:color w:val="000000"/>
          <w:sz w:val="18"/>
          <w:szCs w:val="18"/>
        </w:rPr>
        <w:t xml:space="preserve">; vessel ligation n=4, </w:t>
      </w:r>
      <w:r>
        <w:rPr>
          <w:rFonts w:ascii="Arial" w:hAnsi="Arial" w:cs="Arial"/>
          <w:color w:val="000000"/>
          <w:sz w:val="18"/>
          <w:szCs w:val="18"/>
        </w:rPr>
        <w:t>2</w:t>
      </w:r>
      <w:r w:rsidRPr="00C202A2">
        <w:rPr>
          <w:rFonts w:ascii="Arial" w:hAnsi="Arial" w:cs="Arial"/>
          <w:color w:val="000000"/>
          <w:sz w:val="18"/>
          <w:szCs w:val="18"/>
        </w:rPr>
        <w:t xml:space="preserve">.8% </w:t>
      </w:r>
      <w:r w:rsidRPr="00C202A2">
        <w:rPr>
          <w:rFonts w:ascii="Arial" w:hAnsi="Arial" w:cs="Arial"/>
          <w:sz w:val="18"/>
          <w:szCs w:val="18"/>
        </w:rPr>
        <w:t>in died vs. survived &amp; n=2, 1.</w:t>
      </w:r>
      <w:r>
        <w:rPr>
          <w:rFonts w:ascii="Arial" w:hAnsi="Arial" w:cs="Arial"/>
          <w:sz w:val="18"/>
          <w:szCs w:val="18"/>
        </w:rPr>
        <w:t>6</w:t>
      </w:r>
      <w:r w:rsidRPr="00C202A2">
        <w:rPr>
          <w:rFonts w:ascii="Arial" w:hAnsi="Arial" w:cs="Arial"/>
          <w:sz w:val="18"/>
          <w:szCs w:val="18"/>
        </w:rPr>
        <w:t>% in severe outcome vs. no severe outcome analysis</w:t>
      </w:r>
      <w:r w:rsidRPr="00C202A2">
        <w:rPr>
          <w:rFonts w:ascii="Arial" w:hAnsi="Arial" w:cs="Arial"/>
          <w:color w:val="000000"/>
          <w:sz w:val="18"/>
          <w:szCs w:val="18"/>
        </w:rPr>
        <w:t xml:space="preserve">; </w:t>
      </w:r>
      <w:proofErr w:type="spellStart"/>
      <w:r w:rsidRPr="00C202A2">
        <w:rPr>
          <w:rFonts w:ascii="Arial" w:hAnsi="Arial" w:cs="Arial"/>
          <w:color w:val="000000"/>
          <w:sz w:val="18"/>
          <w:szCs w:val="18"/>
        </w:rPr>
        <w:t>embolisation</w:t>
      </w:r>
      <w:proofErr w:type="spellEnd"/>
      <w:r w:rsidRPr="00C202A2">
        <w:rPr>
          <w:rFonts w:ascii="Arial" w:hAnsi="Arial" w:cs="Arial"/>
          <w:color w:val="000000"/>
          <w:sz w:val="18"/>
          <w:szCs w:val="18"/>
        </w:rPr>
        <w:t xml:space="preserve"> n=</w:t>
      </w:r>
      <w:r>
        <w:rPr>
          <w:rFonts w:ascii="Arial" w:hAnsi="Arial" w:cs="Arial"/>
          <w:color w:val="000000"/>
          <w:sz w:val="18"/>
          <w:szCs w:val="18"/>
        </w:rPr>
        <w:t>8</w:t>
      </w:r>
      <w:r w:rsidRPr="00C202A2">
        <w:rPr>
          <w:rFonts w:ascii="Arial" w:hAnsi="Arial" w:cs="Arial"/>
          <w:color w:val="000000"/>
          <w:sz w:val="18"/>
          <w:szCs w:val="18"/>
        </w:rPr>
        <w:t>, 5.</w:t>
      </w:r>
      <w:r>
        <w:rPr>
          <w:rFonts w:ascii="Arial" w:hAnsi="Arial" w:cs="Arial"/>
          <w:color w:val="000000"/>
          <w:sz w:val="18"/>
          <w:szCs w:val="18"/>
        </w:rPr>
        <w:t>6</w:t>
      </w:r>
      <w:r w:rsidRPr="00C202A2">
        <w:rPr>
          <w:rFonts w:ascii="Arial" w:hAnsi="Arial" w:cs="Arial"/>
          <w:color w:val="000000"/>
          <w:sz w:val="18"/>
          <w:szCs w:val="18"/>
        </w:rPr>
        <w:t xml:space="preserve">% </w:t>
      </w:r>
      <w:r w:rsidRPr="00C202A2">
        <w:rPr>
          <w:rFonts w:ascii="Arial" w:hAnsi="Arial" w:cs="Arial"/>
          <w:sz w:val="18"/>
          <w:szCs w:val="18"/>
        </w:rPr>
        <w:t>in died vs. survived &amp; n=</w:t>
      </w:r>
      <w:r>
        <w:rPr>
          <w:rFonts w:ascii="Arial" w:hAnsi="Arial" w:cs="Arial"/>
          <w:sz w:val="18"/>
          <w:szCs w:val="18"/>
        </w:rPr>
        <w:t>6</w:t>
      </w:r>
      <w:r w:rsidRPr="00C202A2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4.8</w:t>
      </w:r>
      <w:r w:rsidRPr="00C202A2">
        <w:rPr>
          <w:rFonts w:ascii="Arial" w:hAnsi="Arial" w:cs="Arial"/>
          <w:sz w:val="18"/>
          <w:szCs w:val="18"/>
        </w:rPr>
        <w:t>% in severe outcome vs. no severe outcome analysis</w:t>
      </w:r>
      <w:r w:rsidRPr="00C202A2">
        <w:rPr>
          <w:rFonts w:ascii="Arial" w:hAnsi="Arial" w:cs="Arial"/>
          <w:color w:val="000000"/>
          <w:sz w:val="18"/>
          <w:szCs w:val="18"/>
        </w:rPr>
        <w:t xml:space="preserve"> (not collected in France); obstetrician &amp;/or anaesthetist present at time of event n=</w:t>
      </w:r>
      <w:r>
        <w:rPr>
          <w:rFonts w:ascii="Arial" w:hAnsi="Arial" w:cs="Arial"/>
          <w:color w:val="000000"/>
          <w:sz w:val="18"/>
          <w:szCs w:val="18"/>
        </w:rPr>
        <w:t>15</w:t>
      </w:r>
      <w:r w:rsidRPr="00C202A2"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sz w:val="18"/>
          <w:szCs w:val="18"/>
        </w:rPr>
        <w:t>10.6</w:t>
      </w:r>
      <w:r w:rsidRPr="00C202A2">
        <w:rPr>
          <w:rFonts w:ascii="Arial" w:hAnsi="Arial" w:cs="Arial"/>
          <w:color w:val="000000"/>
          <w:sz w:val="18"/>
          <w:szCs w:val="18"/>
        </w:rPr>
        <w:t xml:space="preserve">% </w:t>
      </w:r>
      <w:r w:rsidRPr="00C202A2">
        <w:rPr>
          <w:rFonts w:ascii="Arial" w:hAnsi="Arial" w:cs="Arial"/>
          <w:sz w:val="18"/>
          <w:szCs w:val="18"/>
        </w:rPr>
        <w:t>in died vs. survived &amp; n=</w:t>
      </w:r>
      <w:r>
        <w:rPr>
          <w:rFonts w:ascii="Arial" w:hAnsi="Arial" w:cs="Arial"/>
          <w:sz w:val="18"/>
          <w:szCs w:val="18"/>
        </w:rPr>
        <w:t>14</w:t>
      </w:r>
      <w:r w:rsidRPr="00C202A2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11.2</w:t>
      </w:r>
      <w:r w:rsidRPr="00C202A2">
        <w:rPr>
          <w:rFonts w:ascii="Arial" w:hAnsi="Arial" w:cs="Arial"/>
          <w:sz w:val="18"/>
          <w:szCs w:val="18"/>
        </w:rPr>
        <w:t>% in severe outcome vs. no severe outcome analysis</w:t>
      </w:r>
      <w:r w:rsidRPr="00C202A2">
        <w:rPr>
          <w:rFonts w:ascii="Arial" w:hAnsi="Arial" w:cs="Arial"/>
          <w:color w:val="000000"/>
          <w:sz w:val="18"/>
          <w:szCs w:val="18"/>
        </w:rPr>
        <w:t xml:space="preserve">  (not collected in France); obstetrician &amp;/or anaesthetist present at time of event or arrived within 5 </w:t>
      </w:r>
      <w:proofErr w:type="spellStart"/>
      <w:r w:rsidRPr="00C202A2">
        <w:rPr>
          <w:rFonts w:ascii="Arial" w:hAnsi="Arial" w:cs="Arial"/>
          <w:color w:val="000000"/>
          <w:sz w:val="18"/>
          <w:szCs w:val="18"/>
        </w:rPr>
        <w:t>mins</w:t>
      </w:r>
      <w:proofErr w:type="spellEnd"/>
      <w:r w:rsidRPr="00C202A2">
        <w:rPr>
          <w:rFonts w:ascii="Arial" w:hAnsi="Arial" w:cs="Arial"/>
          <w:color w:val="000000"/>
          <w:sz w:val="18"/>
          <w:szCs w:val="18"/>
        </w:rPr>
        <w:t xml:space="preserve"> n=</w:t>
      </w:r>
      <w:r>
        <w:rPr>
          <w:rFonts w:ascii="Arial" w:hAnsi="Arial" w:cs="Arial"/>
          <w:color w:val="000000"/>
          <w:sz w:val="18"/>
          <w:szCs w:val="18"/>
        </w:rPr>
        <w:t>11</w:t>
      </w:r>
      <w:r w:rsidRPr="00C202A2"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sz w:val="18"/>
          <w:szCs w:val="18"/>
        </w:rPr>
        <w:t>7.7</w:t>
      </w:r>
      <w:r w:rsidRPr="00C202A2">
        <w:rPr>
          <w:rFonts w:ascii="Arial" w:hAnsi="Arial" w:cs="Arial"/>
          <w:color w:val="000000"/>
          <w:sz w:val="18"/>
          <w:szCs w:val="18"/>
        </w:rPr>
        <w:t xml:space="preserve">% </w:t>
      </w:r>
      <w:r w:rsidRPr="00C202A2">
        <w:rPr>
          <w:rFonts w:ascii="Arial" w:hAnsi="Arial" w:cs="Arial"/>
          <w:sz w:val="18"/>
          <w:szCs w:val="18"/>
        </w:rPr>
        <w:t>in died vs. survived &amp; n=</w:t>
      </w:r>
      <w:r>
        <w:rPr>
          <w:rFonts w:ascii="Arial" w:hAnsi="Arial" w:cs="Arial"/>
          <w:sz w:val="18"/>
          <w:szCs w:val="18"/>
        </w:rPr>
        <w:t>11</w:t>
      </w:r>
      <w:r w:rsidRPr="00C202A2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8.8</w:t>
      </w:r>
      <w:r w:rsidRPr="00C202A2">
        <w:rPr>
          <w:rFonts w:ascii="Arial" w:hAnsi="Arial" w:cs="Arial"/>
          <w:sz w:val="18"/>
          <w:szCs w:val="18"/>
        </w:rPr>
        <w:t>% in severe outcome vs. no severe outcome analysis</w:t>
      </w:r>
      <w:r w:rsidRPr="00C202A2">
        <w:rPr>
          <w:rFonts w:ascii="Arial" w:hAnsi="Arial" w:cs="Arial"/>
          <w:color w:val="000000"/>
          <w:sz w:val="18"/>
          <w:szCs w:val="18"/>
        </w:rPr>
        <w:t xml:space="preserve"> (not collected in France); </w:t>
      </w:r>
      <w:r w:rsidRPr="00C202A2">
        <w:rPr>
          <w:rFonts w:ascii="Arial" w:hAnsi="Arial" w:cs="Arial"/>
          <w:sz w:val="18"/>
          <w:szCs w:val="18"/>
        </w:rPr>
        <w:t>plasma/blood exchange n=</w:t>
      </w:r>
      <w:r>
        <w:rPr>
          <w:rFonts w:ascii="Arial" w:hAnsi="Arial" w:cs="Arial"/>
          <w:sz w:val="18"/>
          <w:szCs w:val="18"/>
        </w:rPr>
        <w:t>7</w:t>
      </w:r>
      <w:r w:rsidRPr="00C202A2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4.9</w:t>
      </w:r>
      <w:r w:rsidRPr="00C202A2">
        <w:rPr>
          <w:rFonts w:ascii="Arial" w:hAnsi="Arial" w:cs="Arial"/>
          <w:sz w:val="18"/>
          <w:szCs w:val="18"/>
        </w:rPr>
        <w:t>% in died vs. survived &amp; n=</w:t>
      </w:r>
      <w:r>
        <w:rPr>
          <w:rFonts w:ascii="Arial" w:hAnsi="Arial" w:cs="Arial"/>
          <w:sz w:val="18"/>
          <w:szCs w:val="18"/>
        </w:rPr>
        <w:t>7</w:t>
      </w:r>
      <w:r w:rsidRPr="00C202A2">
        <w:rPr>
          <w:rFonts w:ascii="Arial" w:hAnsi="Arial" w:cs="Arial"/>
          <w:sz w:val="18"/>
          <w:szCs w:val="18"/>
        </w:rPr>
        <w:t>, 5</w:t>
      </w:r>
      <w:r>
        <w:rPr>
          <w:rFonts w:ascii="Arial" w:hAnsi="Arial" w:cs="Arial"/>
          <w:sz w:val="18"/>
          <w:szCs w:val="18"/>
        </w:rPr>
        <w:t>.6</w:t>
      </w:r>
      <w:r w:rsidRPr="00C202A2">
        <w:rPr>
          <w:rFonts w:ascii="Arial" w:hAnsi="Arial" w:cs="Arial"/>
          <w:sz w:val="18"/>
          <w:szCs w:val="18"/>
        </w:rPr>
        <w:t>% in severe outcome vs. no severe outcome analysis (not collected in France)</w:t>
      </w:r>
      <w:proofErr w:type="gramEnd"/>
    </w:p>
    <w:p w:rsidR="00E30C61" w:rsidRPr="007322A7" w:rsidRDefault="00E30C61" w:rsidP="00E30C61">
      <w:pPr>
        <w:rPr>
          <w:rFonts w:ascii="Arial" w:hAnsi="Arial" w:cs="Arial"/>
          <w:color w:val="000000"/>
          <w:sz w:val="18"/>
          <w:szCs w:val="18"/>
          <w:lang w:val="en-US" w:eastAsia="en-GB"/>
        </w:rPr>
      </w:pPr>
      <w:r w:rsidRPr="007322A7">
        <w:rPr>
          <w:rFonts w:ascii="Arial" w:hAnsi="Arial" w:cs="Arial"/>
          <w:color w:val="000000"/>
          <w:sz w:val="18"/>
          <w:szCs w:val="18"/>
          <w:lang w:val="en-US" w:eastAsia="en-GB"/>
        </w:rPr>
        <w:t>Bold text indicates statistically signi</w:t>
      </w:r>
      <w:r>
        <w:rPr>
          <w:rFonts w:ascii="Arial" w:hAnsi="Arial" w:cs="Arial"/>
          <w:color w:val="000000"/>
          <w:sz w:val="18"/>
          <w:szCs w:val="18"/>
          <w:lang w:val="en-US" w:eastAsia="en-GB"/>
        </w:rPr>
        <w:t>ficant findings at the 5% level</w:t>
      </w:r>
    </w:p>
    <w:p w:rsidR="00011746" w:rsidRDefault="00E30C61">
      <w:bookmarkStart w:id="0" w:name="_GoBack"/>
      <w:bookmarkEnd w:id="0"/>
    </w:p>
    <w:sectPr w:rsidR="00011746" w:rsidSect="00EB2606">
      <w:pgSz w:w="16838" w:h="11906" w:orient="landscape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06"/>
    <w:rsid w:val="00D96FAA"/>
    <w:rsid w:val="00DC12ED"/>
    <w:rsid w:val="00E30C61"/>
    <w:rsid w:val="00EB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543C43-F501-48BF-B745-610444B9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606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Fitzpatrick</dc:creator>
  <cp:keywords/>
  <dc:description/>
  <cp:lastModifiedBy>Kate Fitzpatrick</cp:lastModifiedBy>
  <cp:revision>2</cp:revision>
  <dcterms:created xsi:type="dcterms:W3CDTF">2019-10-01T10:40:00Z</dcterms:created>
  <dcterms:modified xsi:type="dcterms:W3CDTF">2019-10-01T10:56:00Z</dcterms:modified>
</cp:coreProperties>
</file>