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98A6" w14:textId="78A076A3" w:rsidR="001F020C" w:rsidRPr="0096211D" w:rsidRDefault="001F020C" w:rsidP="001F020C">
      <w:pPr>
        <w:pStyle w:val="Caption"/>
        <w:keepNext/>
        <w:rPr>
          <w:b/>
          <w:i w:val="0"/>
          <w:sz w:val="22"/>
        </w:rPr>
      </w:pPr>
      <w:r>
        <w:rPr>
          <w:b/>
          <w:i w:val="0"/>
          <w:sz w:val="22"/>
        </w:rPr>
        <w:t xml:space="preserve">Supplementary </w:t>
      </w:r>
      <w:r w:rsidRPr="0096211D">
        <w:rPr>
          <w:b/>
          <w:i w:val="0"/>
          <w:sz w:val="22"/>
        </w:rPr>
        <w:t xml:space="preserve">Table </w:t>
      </w:r>
      <w:r>
        <w:rPr>
          <w:b/>
          <w:i w:val="0"/>
          <w:sz w:val="22"/>
        </w:rPr>
        <w:t>3</w:t>
      </w:r>
      <w:bookmarkStart w:id="0" w:name="_GoBack"/>
      <w:bookmarkEnd w:id="0"/>
      <w:r w:rsidRPr="0096211D">
        <w:rPr>
          <w:b/>
          <w:i w:val="0"/>
          <w:sz w:val="22"/>
        </w:rPr>
        <w:t xml:space="preserve"> Summary of adverse events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2"/>
        <w:gridCol w:w="680"/>
        <w:gridCol w:w="778"/>
        <w:gridCol w:w="673"/>
        <w:gridCol w:w="772"/>
        <w:gridCol w:w="617"/>
        <w:gridCol w:w="700"/>
        <w:gridCol w:w="616"/>
        <w:gridCol w:w="698"/>
      </w:tblGrid>
      <w:tr w:rsidR="001F020C" w:rsidRPr="00834E2E" w14:paraId="3870D1DB" w14:textId="77777777" w:rsidTr="0059415A">
        <w:trPr>
          <w:trHeight w:val="290"/>
        </w:trPr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57F4C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Adverse event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F997" w14:textId="77777777" w:rsidR="001F020C" w:rsidRPr="00834E2E" w:rsidRDefault="001F020C" w:rsidP="0059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By randomisation arm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EF65" w14:textId="77777777" w:rsidR="001F020C" w:rsidRPr="00834E2E" w:rsidRDefault="001F020C" w:rsidP="0059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 treated</w:t>
            </w:r>
          </w:p>
        </w:tc>
      </w:tr>
      <w:tr w:rsidR="001F020C" w:rsidRPr="00834E2E" w14:paraId="70A11150" w14:textId="77777777" w:rsidTr="0059415A">
        <w:trPr>
          <w:trHeight w:val="290"/>
        </w:trPr>
        <w:tc>
          <w:tcPr>
            <w:tcW w:w="2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2F821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DB944" w14:textId="77777777" w:rsidR="001F020C" w:rsidRPr="00834E2E" w:rsidRDefault="001F020C" w:rsidP="0059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DTG (n=29)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3F8A" w14:textId="77777777" w:rsidR="001F020C" w:rsidRPr="00834E2E" w:rsidRDefault="001F020C" w:rsidP="0059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 (n=31)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892B" w14:textId="77777777" w:rsidR="001F020C" w:rsidRPr="00834E2E" w:rsidRDefault="001F020C" w:rsidP="0059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DTG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1003" w14:textId="77777777" w:rsidR="001F020C" w:rsidRPr="00834E2E" w:rsidRDefault="001F020C" w:rsidP="0059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</w:tr>
      <w:tr w:rsidR="001F020C" w:rsidRPr="00834E2E" w14:paraId="73D3C138" w14:textId="77777777" w:rsidTr="0059415A">
        <w:trPr>
          <w:trHeight w:val="290"/>
        </w:trPr>
        <w:tc>
          <w:tcPr>
            <w:tcW w:w="2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221C2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DCC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CC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≥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929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CF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≥G3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0B1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62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≥G3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A68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44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≥G3</w:t>
            </w:r>
          </w:p>
        </w:tc>
      </w:tr>
      <w:tr w:rsidR="001F020C" w:rsidRPr="00834E2E" w14:paraId="4420CDBC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881D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Blood and lymphatic system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A291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57273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8CE0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5513A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0969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EB27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075B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1A19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4C7FF1E1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81D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Anaemia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EB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1A6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69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788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C50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83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98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22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5B0CEE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2D6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Iron deficiency anaemia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E0BD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96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7CA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4B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5733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71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5BAB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A3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41DDF74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DA91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Cardiac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BB96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4A88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1B2B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81B30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DF54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66CB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4B75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6A53C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206E34FC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21E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Tachycardia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A70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15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FFD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4B7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D2FA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9D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D32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DE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F7EEEBD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3730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Gastrointestinal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F9D7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8CF9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0F39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6E3EA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7439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99FD4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5A64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9528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7E6A4807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4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Abdominal pain lower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B2B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C2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E19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13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7D1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D0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4D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84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8A57537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56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Abdominal pain upper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FB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DF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5B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12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CA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654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DB9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DD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037D0B5D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41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Dental care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6A1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84A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AE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8FE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304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B1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66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CF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71016D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F2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Diarrhoea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6F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F06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B1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9F3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0C1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0C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D6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326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06D3351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25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Dyspepsia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BD0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68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C1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9D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7AD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2F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19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DB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66719D5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6D7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Gastritis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DB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B8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B34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60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46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41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A1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46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CD84E3C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37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Haemorrhoids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C6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9FF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30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1C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E5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BC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FF1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38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942C5B4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1EE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Nausea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15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C6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FD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A1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6C5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EC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6D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38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79BC6FE0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650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Toothache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BB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AF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67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5D1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1C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4FC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54A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F2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6D1B9C0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CAE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Vomiting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DFC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89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DDCF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7F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9D1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5B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E8E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0E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6D78349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FB05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General disorders and administration site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C351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7EBF5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FB87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5504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49F8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182C8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0D28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49EB5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7E2585E4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75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Asthenia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23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C1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CDC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4DE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AC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77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786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20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1B2C758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C6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Chest pain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4BC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3C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CB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19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B0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98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80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38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5171C22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CC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Fatigue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46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2F8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A8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74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7A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EE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461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B9F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FED7F55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061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Pyrexia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791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D8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394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70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7C3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D1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FE59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D1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1E104A2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ABC6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Infections and infestations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B14D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3C1A6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DE37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9D3F3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E6CF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F7B0C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582B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521D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0EBB049B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A38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Bacterial vaginosis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425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F3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733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D4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586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BF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79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BE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07465E9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4A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Body tinea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68C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08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44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AB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06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AF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C5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B2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65B9266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E5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Escherichia urinary tract infection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187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65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EF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27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9FC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39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98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38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930B58E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154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Gastroenteritis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A79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23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41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14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DA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15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36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62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E7F6C0F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DBD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Hordeolum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4CA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73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DB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FD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A7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63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F4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E7F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B61A812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08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Influenza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5EF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0E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B0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20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F8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59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31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96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A8CE248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6A7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Lower respiratory tract infection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73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12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C82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31A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61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F6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05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47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3C32546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DF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Malaria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F7E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48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39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8CB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288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AB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E2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80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EAE529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44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Nasopharyngitis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ED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08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B9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C0E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5C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5CF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6AB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E4A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E31C0BE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9E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Oral candidiasis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A1E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90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D59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29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EA3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2E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F5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98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7E81F1C0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8F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Pharyngitis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A24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4C9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07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2B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F1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0D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976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09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D3E67A1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9D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Sinusitis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A07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0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6E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A0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D3A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B34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0C5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C1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FEE8C9B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D3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Streptococcal urinary tract infection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B9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E5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B8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A0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4F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DA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63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F0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0E752A5C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7F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Syphilis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0EF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C6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BC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11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63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F4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52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5B0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3534B2F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C6D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Trichomoniasis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18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5D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B9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FB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BC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0D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0A8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86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5238C1F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42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Upper respiratory tract infection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21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E9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65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876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E6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C8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CA9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79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783D528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5E8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Urinary tract infection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72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58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8D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63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FE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B0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E9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13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71D7FAB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AC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Virologic failure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C6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12C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7B1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10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2F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4D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29E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C6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5B2E49B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D7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Vulvovaginal candidiasis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5C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8A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98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06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95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4A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25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91B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C78B106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D5B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Wound sepsis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AB4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F9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627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AF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88B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C2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3C50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5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AAC9C14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C0A2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Injury, poisoning and procedural complications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F266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C1374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1796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C290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E067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DB143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36E1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C3B96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50401A5A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82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Laceration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092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39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57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54D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A2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BE3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F7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01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ABB0016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FC52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Procedural pain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A74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85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8152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A0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54E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909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8D24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D0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190038D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F294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Investigations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F681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A9891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CCA1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1979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06CE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DE512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C155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B921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1F020C" w:rsidRPr="00834E2E" w14:paraId="0CFAA7DF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C7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Blood pressure increased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6B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AE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B8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37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8C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F7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EA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E5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406C20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09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Creatinine renal clearance decreased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17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00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AE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BD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FD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31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5C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222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BD4C925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A0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Haemoglobin decreased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A2CD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42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659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5E9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0BB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5B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AE5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A8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F020C" w:rsidRPr="00834E2E" w14:paraId="792FB829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57F9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Metabolism and nutrition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B791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11A05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1889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21F84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E732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4F51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B3D3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F9048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7A0F5776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65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Decreased appetite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12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DB9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17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EE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D8B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40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DB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595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981A815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498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proofErr w:type="spellStart"/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Hypoalbuminaemia</w:t>
            </w:r>
            <w:proofErr w:type="spellEnd"/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471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9C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8C8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1C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B5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2F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F44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B3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3784E16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FE5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Hypoglycaemia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80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B6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83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CC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C4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3E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0A0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E24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136DC3D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589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Hypokalaemia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8D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F8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F7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B32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F2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677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70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86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9CBC9A7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DB5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Hyponatraemia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6D0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344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B65F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543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6C73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42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D1D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0F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D779AD7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3CC8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Musculoskeletal and connective tissue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B48F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BAFC5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FF39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1D5F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9DE8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3A1E8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12FA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EE08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4482E188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0C1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Arthralgia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E7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5F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56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87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0D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BB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EE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47A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70896897" w14:textId="77777777" w:rsidTr="0059415A">
        <w:trPr>
          <w:trHeight w:val="290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2EEA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Nervous system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A6B1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CC077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7F29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377A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3433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64D8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8897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4F2D4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256E7D0C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A9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Dizziness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F3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78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D8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F2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9B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2C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6EA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39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13B9E52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F52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Headache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63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0F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90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7E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7C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E7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F5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62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03338C3E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631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Paraesthesia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9B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88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36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AC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3C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48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59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80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FD1E1ED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CF2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Syncope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41E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1E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860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BD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FEA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F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A47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E60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72735C02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5283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Pregnancy, puerperium and perinatal conditions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7403F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919F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5B62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5AC4F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267A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8E850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2027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76179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64AB1077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15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Gestational hypertension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15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8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F78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32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A8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DB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20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6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B73487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9C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Premature labour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4B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C26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93F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82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04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71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FE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3BD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E1F6193" w14:textId="77777777" w:rsidTr="0059415A">
        <w:trPr>
          <w:trHeight w:val="290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F372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Psychiatric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4733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24015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3F9B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9FA12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F6D79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9CE6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09D6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49ED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4C13443E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D5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Abnormal dreams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1AF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B8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9C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E5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C07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87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14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82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0C9BF85A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A9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Nightmare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A0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A5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EA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C4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18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E9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982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03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6AF8657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3524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Perinatal depression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A03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AA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4FD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16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5E1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296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DDA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6C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CD603C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198B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Renal and urinary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C678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ED08C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686A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18454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7813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64BC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57E0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1055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3CB5C61B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C0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Chronic kidney disease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A3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3B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DA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52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B2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601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C8D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75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0DEDFA3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D7F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Haematuria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117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5D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99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E9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64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C6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F1A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FF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3DB791D1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267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proofErr w:type="spellStart"/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Leukocyturia</w:t>
            </w:r>
            <w:proofErr w:type="spellEnd"/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01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3D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BF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E01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B8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827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720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6B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5DC5055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6A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Polyuria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70F3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88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CF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5F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EC2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FF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84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84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6782593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17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Proteinuria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73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26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39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62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3E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45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C5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F9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0261693" w14:textId="77777777" w:rsidTr="0059415A">
        <w:trPr>
          <w:trHeight w:val="290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6766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Reproductive system and breast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A47B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DEAEB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298C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0ABC8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FDC3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FFAE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9505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C5DC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3B8A1C50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CCE3C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Vulvovaginal pruritus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9C8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56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E9C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98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ECA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4A8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466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48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20B876AF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D054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Respiratory, thoracic and mediastinal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1257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B69BB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1C89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F98A1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3A5D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F05C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C50E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F8393B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53D7B69B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0E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Cough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DA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B27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61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F70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CCB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99D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61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C8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5F561DE2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2A0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Hiccups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B7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E8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07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DD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104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D4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0D4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C2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CDB289E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1C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Oropharyngeal pain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69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33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012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47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704F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E7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36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64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D40F176" w14:textId="77777777" w:rsidTr="0059415A">
        <w:trPr>
          <w:trHeight w:val="290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2170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Skin and subcutaneous tissue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A5B7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0371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D2EC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98248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EAE5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32B17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E2F9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04912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F020C" w:rsidRPr="00834E2E" w14:paraId="186DF8E4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1E7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Pruritus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34B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E3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7D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48B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D7E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2E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F76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95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7C4FAA9F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71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Rash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30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D9F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88A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909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E55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7855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C79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E66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1355D1C6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7F1E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Rash </w:t>
            </w:r>
            <w:proofErr w:type="spellStart"/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papular</w:t>
            </w:r>
            <w:proofErr w:type="spellEnd"/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54ED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65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9E7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54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602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AD41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9158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B30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687DE3DE" w14:textId="77777777" w:rsidTr="0059415A">
        <w:trPr>
          <w:trHeight w:val="2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D4A88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Urticaria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26B0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B44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249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F62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88A1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A8A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A6DC" w14:textId="77777777" w:rsidR="001F020C" w:rsidRPr="00834E2E" w:rsidRDefault="001F020C" w:rsidP="0059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7E3" w14:textId="77777777" w:rsidR="001F020C" w:rsidRPr="00834E2E" w:rsidRDefault="001F020C" w:rsidP="00594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E2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020C" w:rsidRPr="00834E2E" w14:paraId="46B996B7" w14:textId="77777777" w:rsidTr="0059415A">
        <w:trPr>
          <w:trHeight w:val="29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A4C6" w14:textId="77777777" w:rsidR="001F020C" w:rsidRDefault="001F020C" w:rsidP="005941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Abbreviations: DTG, dolutegravir arm; SoC, standard of care arm</w:t>
            </w:r>
          </w:p>
          <w:p w14:paraId="2E0D13B3" w14:textId="77777777" w:rsidR="001F020C" w:rsidRPr="00834E2E" w:rsidRDefault="001F020C" w:rsidP="005941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Shows number subjects experiencing at least one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adverse event per row from the screening visit. Rows in bold are System Organ Class and subitems are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P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referred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T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erm. Sum of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Preferred Terms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do not always equal S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ystem 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rgan 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lass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total as some individuals experienced more than one event within each 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class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. </w:t>
            </w:r>
            <w:r w:rsidRPr="0040430A">
              <w:rPr>
                <w:rFonts w:ascii="Calibri" w:eastAsia="Times New Roman" w:hAnsi="Calibri" w:cs="Calibri"/>
                <w:i/>
                <w:color w:val="000000"/>
                <w:sz w:val="18"/>
                <w:lang w:eastAsia="en-GB"/>
              </w:rPr>
              <w:t xml:space="preserve">All 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includes any adverse event, &amp; </w:t>
            </w:r>
            <w:r w:rsidRPr="0040430A">
              <w:rPr>
                <w:rFonts w:ascii="Calibri" w:eastAsia="Times New Roman" w:hAnsi="Calibri" w:cs="Calibri"/>
                <w:i/>
                <w:color w:val="000000"/>
                <w:sz w:val="18"/>
                <w:lang w:eastAsia="en-GB"/>
              </w:rPr>
              <w:t>≥G3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, includes any adverse event considered grade 3 or higher. Individuals were initiated on S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C at screening, prior to randomisation, &amp; as such </w:t>
            </w:r>
            <w:r w:rsidRPr="0040430A">
              <w:rPr>
                <w:rFonts w:ascii="Calibri" w:eastAsia="Times New Roman" w:hAnsi="Calibri" w:cs="Calibri"/>
                <w:i/>
                <w:color w:val="000000"/>
                <w:sz w:val="18"/>
                <w:lang w:eastAsia="en-GB"/>
              </w:rPr>
              <w:t>"As treated"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 classifies any adverse events occurring prior to randomisation in the DTG arm as S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</w:t>
            </w:r>
            <w:r w:rsidRPr="0040430A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</w:t>
            </w:r>
          </w:p>
        </w:tc>
      </w:tr>
    </w:tbl>
    <w:p w14:paraId="58D7B868" w14:textId="77777777" w:rsidR="001F020C" w:rsidRDefault="001F020C" w:rsidP="001F020C"/>
    <w:p w14:paraId="2D24D337" w14:textId="77777777" w:rsidR="00797856" w:rsidRDefault="00797856"/>
    <w:sectPr w:rsidR="00797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0C"/>
    <w:rsid w:val="001F020C"/>
    <w:rsid w:val="007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5120"/>
  <w15:chartTrackingRefBased/>
  <w15:docId w15:val="{63CE9815-7A5C-4952-A47A-A1A3489C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20C"/>
    <w:pPr>
      <w:spacing w:after="0" w:line="240" w:lineRule="auto"/>
    </w:pPr>
    <w:rPr>
      <w:rFonts w:ascii="Arial Narrow" w:eastAsiaTheme="minorEastAsia" w:hAnsi="Arial Narrow"/>
      <w:sz w:val="20"/>
      <w:szCs w:val="20"/>
      <w:lang w:val="en-U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F02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Waitt, Catriona</dc:creator>
  <cp:keywords/>
  <dc:description/>
  <cp:lastModifiedBy>Waitt, Catriona</cp:lastModifiedBy>
  <cp:revision>1</cp:revision>
  <dcterms:created xsi:type="dcterms:W3CDTF">2019-07-25T03:19:00Z</dcterms:created>
  <dcterms:modified xsi:type="dcterms:W3CDTF">2019-07-25T03:20:00Z</dcterms:modified>
</cp:coreProperties>
</file>