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1A21" w14:textId="4551DC64" w:rsidR="00C11CE7" w:rsidRPr="00BB5E30" w:rsidRDefault="0021489A" w:rsidP="00C11CE7">
      <w:pPr>
        <w:pStyle w:val="Caption"/>
      </w:pPr>
      <w:bookmarkStart w:id="0" w:name="_Toc536641290"/>
      <w:bookmarkStart w:id="1" w:name="_Toc536641310"/>
      <w:bookmarkEnd w:id="0"/>
      <w:r>
        <w:t xml:space="preserve">Supplementary table </w:t>
      </w:r>
      <w:r w:rsidR="00820252">
        <w:t>1</w:t>
      </w:r>
      <w:r w:rsidR="00E83FAB">
        <w:t>2</w:t>
      </w:r>
      <w:bookmarkStart w:id="2" w:name="_GoBack"/>
      <w:bookmarkEnd w:id="2"/>
      <w:r w:rsidR="00C11CE7" w:rsidRPr="00BB5E30">
        <w:t>: Differences in baseline cognition and cognitive change per 10 years between Whitehall II participants with preceding high and low social contact frequency, according to whether subsequently developed dementia</w:t>
      </w:r>
      <w:bookmarkEnd w:id="1"/>
    </w:p>
    <w:tbl>
      <w:tblPr>
        <w:tblStyle w:val="PlainTable2"/>
        <w:tblW w:w="14110" w:type="dxa"/>
        <w:tblLayout w:type="fixed"/>
        <w:tblLook w:val="0420" w:firstRow="1" w:lastRow="0" w:firstColumn="0" w:lastColumn="0" w:noHBand="0" w:noVBand="1"/>
      </w:tblPr>
      <w:tblGrid>
        <w:gridCol w:w="1863"/>
        <w:gridCol w:w="2162"/>
        <w:gridCol w:w="2212"/>
        <w:gridCol w:w="2732"/>
        <w:gridCol w:w="236"/>
        <w:gridCol w:w="2173"/>
        <w:gridCol w:w="2732"/>
      </w:tblGrid>
      <w:tr w:rsidR="00C11CE7" w:rsidRPr="00BB5E30" w14:paraId="07176B9A" w14:textId="77777777" w:rsidTr="00CE3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863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FB44C83" w14:textId="77777777" w:rsidR="00C11CE7" w:rsidRPr="00BB5E30" w:rsidRDefault="00C11CE7" w:rsidP="00CE39E4">
            <w:pPr>
              <w:spacing w:after="0" w:line="276" w:lineRule="auto"/>
              <w:jc w:val="center"/>
              <w:rPr>
                <w:bCs w:val="0"/>
              </w:rPr>
            </w:pPr>
            <w:r w:rsidRPr="00BB5E30">
              <w:rPr>
                <w:bCs w:val="0"/>
              </w:rPr>
              <w:t>Social domain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E8266B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 w:val="0"/>
              </w:rPr>
              <w:t>Cognitive domain</w:t>
            </w:r>
          </w:p>
        </w:tc>
        <w:tc>
          <w:tcPr>
            <w:tcW w:w="4944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168EC5" w14:textId="77777777" w:rsidR="00C11CE7" w:rsidRPr="00BB5E30" w:rsidRDefault="00C11CE7" w:rsidP="00CE39E4">
            <w:pPr>
              <w:spacing w:after="0" w:line="276" w:lineRule="auto"/>
              <w:jc w:val="center"/>
              <w:rPr>
                <w:bCs w:val="0"/>
              </w:rPr>
            </w:pPr>
            <w:r w:rsidRPr="00BB5E30">
              <w:rPr>
                <w:bCs w:val="0"/>
              </w:rPr>
              <w:t>Dementia-free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F6FE260" w14:textId="77777777" w:rsidR="00C11CE7" w:rsidRPr="00BB5E30" w:rsidRDefault="00C11CE7" w:rsidP="00CE39E4">
            <w:pPr>
              <w:spacing w:after="0" w:line="276" w:lineRule="auto"/>
              <w:jc w:val="center"/>
            </w:pPr>
          </w:p>
        </w:tc>
        <w:tc>
          <w:tcPr>
            <w:tcW w:w="4905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24C604E" w14:textId="77777777" w:rsidR="00C11CE7" w:rsidRPr="00BB5E30" w:rsidRDefault="00C11CE7" w:rsidP="00CE39E4">
            <w:pPr>
              <w:spacing w:after="0" w:line="276" w:lineRule="auto"/>
              <w:jc w:val="center"/>
              <w:rPr>
                <w:bCs w:val="0"/>
              </w:rPr>
            </w:pPr>
            <w:r w:rsidRPr="00BB5E30">
              <w:rPr>
                <w:bCs w:val="0"/>
              </w:rPr>
              <w:t>Dementia cases</w:t>
            </w:r>
          </w:p>
        </w:tc>
      </w:tr>
      <w:tr w:rsidR="00C65497" w:rsidRPr="00BB5E30" w14:paraId="0B154B78" w14:textId="77777777" w:rsidTr="00CE3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1863" w:type="dxa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14:paraId="2887AF90" w14:textId="77777777" w:rsidR="00C11CE7" w:rsidRPr="00BB5E30" w:rsidRDefault="00C11CE7" w:rsidP="00CE39E4">
            <w:pPr>
              <w:spacing w:after="0" w:line="276" w:lineRule="auto"/>
              <w:rPr>
                <w:b/>
              </w:rPr>
            </w:pPr>
          </w:p>
        </w:tc>
        <w:tc>
          <w:tcPr>
            <w:tcW w:w="2162" w:type="dxa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14:paraId="7866FF20" w14:textId="77777777" w:rsidR="00C11CE7" w:rsidRPr="00BB5E30" w:rsidRDefault="00C11CE7" w:rsidP="00CE39E4">
            <w:pPr>
              <w:spacing w:after="0" w:line="276" w:lineRule="auto"/>
              <w:rPr>
                <w:b/>
              </w:rPr>
            </w:pPr>
          </w:p>
        </w:tc>
        <w:tc>
          <w:tcPr>
            <w:tcW w:w="2212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14:paraId="22566A55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bCs/>
              </w:rPr>
            </w:pPr>
            <w:r w:rsidRPr="00BB5E30">
              <w:rPr>
                <w:b/>
                <w:bCs/>
              </w:rPr>
              <w:t>Baseline cognition</w:t>
            </w:r>
          </w:p>
          <w:p w14:paraId="683A1485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(standard deviations)</w:t>
            </w:r>
          </w:p>
        </w:tc>
        <w:tc>
          <w:tcPr>
            <w:tcW w:w="273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173223C3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bCs/>
              </w:rPr>
            </w:pPr>
            <w:r w:rsidRPr="00BB5E30">
              <w:rPr>
                <w:b/>
                <w:bCs/>
              </w:rPr>
              <w:t>Cognitive change</w:t>
            </w:r>
          </w:p>
          <w:p w14:paraId="7992A376" w14:textId="77777777" w:rsidR="00C11CE7" w:rsidRPr="00BB5E30" w:rsidRDefault="00C11CE7" w:rsidP="00CE39E4">
            <w:pPr>
              <w:spacing w:after="0" w:line="276" w:lineRule="auto"/>
              <w:jc w:val="center"/>
              <w:rPr>
                <w:bCs/>
              </w:rPr>
            </w:pPr>
            <w:r w:rsidRPr="00BB5E30">
              <w:rPr>
                <w:bCs/>
              </w:rPr>
              <w:t>(standard deviations / 10y)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995EBD8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2173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57856840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bCs/>
              </w:rPr>
            </w:pPr>
            <w:r w:rsidRPr="00BB5E30">
              <w:rPr>
                <w:b/>
                <w:bCs/>
              </w:rPr>
              <w:t>Baseline cognition</w:t>
            </w:r>
          </w:p>
          <w:p w14:paraId="33FD5497" w14:textId="77777777" w:rsidR="00C11CE7" w:rsidRPr="00BB5E30" w:rsidRDefault="00C11CE7" w:rsidP="00CE39E4">
            <w:pPr>
              <w:spacing w:after="0" w:line="276" w:lineRule="auto"/>
              <w:jc w:val="center"/>
              <w:rPr>
                <w:bCs/>
              </w:rPr>
            </w:pPr>
            <w:r w:rsidRPr="00BB5E30">
              <w:rPr>
                <w:bCs/>
              </w:rPr>
              <w:t>(standard deviations)</w:t>
            </w:r>
          </w:p>
        </w:tc>
        <w:tc>
          <w:tcPr>
            <w:tcW w:w="2732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14:paraId="18A2E991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bCs/>
              </w:rPr>
            </w:pPr>
            <w:r w:rsidRPr="00BB5E30">
              <w:rPr>
                <w:b/>
                <w:bCs/>
              </w:rPr>
              <w:t>Cognitive change</w:t>
            </w:r>
          </w:p>
          <w:p w14:paraId="3CE728CE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(standard deviations / 10y)</w:t>
            </w:r>
          </w:p>
        </w:tc>
      </w:tr>
      <w:tr w:rsidR="00C11CE7" w:rsidRPr="00BB5E30" w14:paraId="7BACFC50" w14:textId="77777777" w:rsidTr="00CE39E4">
        <w:trPr>
          <w:trHeight w:val="67"/>
        </w:trPr>
        <w:tc>
          <w:tcPr>
            <w:tcW w:w="186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4AFCEBE5" w14:textId="77777777" w:rsidR="00C11CE7" w:rsidRPr="00BB5E30" w:rsidRDefault="00C11CE7" w:rsidP="00CE39E4">
            <w:pPr>
              <w:spacing w:after="0" w:line="276" w:lineRule="auto"/>
              <w:rPr>
                <w:b/>
              </w:rPr>
            </w:pPr>
            <w:r w:rsidRPr="00BB5E30">
              <w:rPr>
                <w:b/>
              </w:rPr>
              <w:t>All social contact</w:t>
            </w:r>
          </w:p>
        </w:tc>
        <w:tc>
          <w:tcPr>
            <w:tcW w:w="2162" w:type="dxa"/>
            <w:tcBorders>
              <w:top w:val="single" w:sz="8" w:space="0" w:color="auto"/>
            </w:tcBorders>
            <w:vAlign w:val="center"/>
            <w:hideMark/>
          </w:tcPr>
          <w:p w14:paraId="63F29DF6" w14:textId="77777777" w:rsidR="00C11CE7" w:rsidRPr="00BB5E30" w:rsidRDefault="00C11CE7" w:rsidP="00CE39E4">
            <w:pPr>
              <w:spacing w:after="0" w:line="276" w:lineRule="auto"/>
            </w:pPr>
            <w:r w:rsidRPr="00BB5E30">
              <w:t>Combined cognition</w:t>
            </w:r>
          </w:p>
        </w:tc>
        <w:tc>
          <w:tcPr>
            <w:tcW w:w="2212" w:type="dxa"/>
            <w:tcBorders>
              <w:top w:val="single" w:sz="8" w:space="0" w:color="auto"/>
            </w:tcBorders>
            <w:vAlign w:val="center"/>
            <w:hideMark/>
          </w:tcPr>
          <w:p w14:paraId="6DA2C42D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  <w:r w:rsidRPr="00BB5E30">
              <w:rPr>
                <w:b/>
                <w:bCs/>
              </w:rPr>
              <w:t>0.06 (0.02, 0.10)</w:t>
            </w:r>
          </w:p>
        </w:tc>
        <w:tc>
          <w:tcPr>
            <w:tcW w:w="2732" w:type="dxa"/>
            <w:tcBorders>
              <w:top w:val="single" w:sz="8" w:space="0" w:color="auto"/>
            </w:tcBorders>
            <w:vAlign w:val="center"/>
          </w:tcPr>
          <w:p w14:paraId="184CDC13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-0.01 (-0.03, 0.00)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57A383C4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173" w:type="dxa"/>
            <w:tcBorders>
              <w:top w:val="single" w:sz="8" w:space="0" w:color="auto"/>
            </w:tcBorders>
            <w:vAlign w:val="center"/>
          </w:tcPr>
          <w:p w14:paraId="3702DF41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  <w:r w:rsidRPr="00BB5E30">
              <w:rPr>
                <w:b/>
              </w:rPr>
              <w:t>0.42 (0.06, 0.75)</w:t>
            </w:r>
          </w:p>
        </w:tc>
        <w:tc>
          <w:tcPr>
            <w:tcW w:w="2732" w:type="dxa"/>
            <w:tcBorders>
              <w:top w:val="single" w:sz="8" w:space="0" w:color="auto"/>
            </w:tcBorders>
            <w:vAlign w:val="center"/>
          </w:tcPr>
          <w:p w14:paraId="043B8D6B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-0.16 (-0.38, 0.06)</w:t>
            </w:r>
          </w:p>
        </w:tc>
      </w:tr>
      <w:tr w:rsidR="00C11CE7" w:rsidRPr="00BB5E30" w14:paraId="1D2763B1" w14:textId="77777777" w:rsidTr="00CE3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1863" w:type="dxa"/>
            <w:vMerge/>
            <w:vAlign w:val="center"/>
            <w:hideMark/>
          </w:tcPr>
          <w:p w14:paraId="36587CFA" w14:textId="77777777" w:rsidR="00C11CE7" w:rsidRPr="00BB5E30" w:rsidRDefault="00C11CE7" w:rsidP="00CE39E4">
            <w:pPr>
              <w:spacing w:after="0" w:line="276" w:lineRule="auto"/>
              <w:rPr>
                <w:b/>
              </w:rPr>
            </w:pPr>
          </w:p>
        </w:tc>
        <w:tc>
          <w:tcPr>
            <w:tcW w:w="2162" w:type="dxa"/>
            <w:vAlign w:val="center"/>
            <w:hideMark/>
          </w:tcPr>
          <w:p w14:paraId="7BBF5CA8" w14:textId="77777777" w:rsidR="00C11CE7" w:rsidRPr="00BB5E30" w:rsidRDefault="00C11CE7" w:rsidP="00CE39E4">
            <w:pPr>
              <w:spacing w:after="0" w:line="276" w:lineRule="auto"/>
            </w:pPr>
            <w:r w:rsidRPr="00BB5E30">
              <w:t>Verbal fluency</w:t>
            </w:r>
          </w:p>
        </w:tc>
        <w:tc>
          <w:tcPr>
            <w:tcW w:w="2212" w:type="dxa"/>
            <w:vAlign w:val="center"/>
          </w:tcPr>
          <w:p w14:paraId="77529110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  <w:r w:rsidRPr="00BB5E30">
              <w:rPr>
                <w:b/>
                <w:bCs/>
              </w:rPr>
              <w:t>0.07 (0.03, 0.12)</w:t>
            </w:r>
          </w:p>
        </w:tc>
        <w:tc>
          <w:tcPr>
            <w:tcW w:w="2732" w:type="dxa"/>
            <w:vAlign w:val="center"/>
          </w:tcPr>
          <w:p w14:paraId="359412B7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-0.01 (-0.03, 0.02)</w:t>
            </w:r>
          </w:p>
        </w:tc>
        <w:tc>
          <w:tcPr>
            <w:tcW w:w="236" w:type="dxa"/>
            <w:vAlign w:val="center"/>
          </w:tcPr>
          <w:p w14:paraId="0C9ED2B8" w14:textId="77777777" w:rsidR="00C11CE7" w:rsidRPr="00BB5E30" w:rsidRDefault="00C11CE7" w:rsidP="00CE39E4">
            <w:pPr>
              <w:spacing w:after="0" w:line="276" w:lineRule="auto"/>
              <w:jc w:val="center"/>
            </w:pPr>
          </w:p>
        </w:tc>
        <w:tc>
          <w:tcPr>
            <w:tcW w:w="2173" w:type="dxa"/>
            <w:vAlign w:val="center"/>
          </w:tcPr>
          <w:p w14:paraId="4406A753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t>0.22 (-0.10, 0.54)</w:t>
            </w:r>
          </w:p>
        </w:tc>
        <w:tc>
          <w:tcPr>
            <w:tcW w:w="2732" w:type="dxa"/>
            <w:vAlign w:val="center"/>
          </w:tcPr>
          <w:p w14:paraId="4E4DE3C2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t>-0.07 (-0.29, 0.14)</w:t>
            </w:r>
          </w:p>
        </w:tc>
      </w:tr>
      <w:tr w:rsidR="00C11CE7" w:rsidRPr="00BB5E30" w14:paraId="4F960F5B" w14:textId="77777777" w:rsidTr="00CE39E4">
        <w:trPr>
          <w:trHeight w:val="77"/>
        </w:trPr>
        <w:tc>
          <w:tcPr>
            <w:tcW w:w="1863" w:type="dxa"/>
            <w:vMerge/>
            <w:vAlign w:val="center"/>
            <w:hideMark/>
          </w:tcPr>
          <w:p w14:paraId="0B284B74" w14:textId="77777777" w:rsidR="00C11CE7" w:rsidRPr="00BB5E30" w:rsidRDefault="00C11CE7" w:rsidP="00CE39E4">
            <w:pPr>
              <w:spacing w:after="0" w:line="276" w:lineRule="auto"/>
              <w:rPr>
                <w:b/>
              </w:rPr>
            </w:pPr>
          </w:p>
        </w:tc>
        <w:tc>
          <w:tcPr>
            <w:tcW w:w="2162" w:type="dxa"/>
            <w:vAlign w:val="center"/>
            <w:hideMark/>
          </w:tcPr>
          <w:p w14:paraId="23E365ED" w14:textId="77777777" w:rsidR="00C11CE7" w:rsidRPr="00BB5E30" w:rsidRDefault="00C11CE7" w:rsidP="00CE39E4">
            <w:pPr>
              <w:spacing w:after="0" w:line="276" w:lineRule="auto"/>
            </w:pPr>
            <w:r w:rsidRPr="00BB5E30">
              <w:t>Verbal memory</w:t>
            </w:r>
          </w:p>
        </w:tc>
        <w:tc>
          <w:tcPr>
            <w:tcW w:w="2212" w:type="dxa"/>
            <w:vAlign w:val="center"/>
          </w:tcPr>
          <w:p w14:paraId="65CA0532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0.04 (-0.01, 0.09)</w:t>
            </w:r>
          </w:p>
        </w:tc>
        <w:tc>
          <w:tcPr>
            <w:tcW w:w="2732" w:type="dxa"/>
            <w:vAlign w:val="center"/>
          </w:tcPr>
          <w:p w14:paraId="12362FAD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-0.01 (-0.04, 0.02)</w:t>
            </w:r>
          </w:p>
        </w:tc>
        <w:tc>
          <w:tcPr>
            <w:tcW w:w="236" w:type="dxa"/>
            <w:vAlign w:val="center"/>
          </w:tcPr>
          <w:p w14:paraId="43CFB186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14:paraId="11DA4BEE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  <w:r w:rsidRPr="00BB5E30">
              <w:rPr>
                <w:b/>
                <w:bCs/>
              </w:rPr>
              <w:t>0.51 (0.14, 0.88)</w:t>
            </w:r>
          </w:p>
        </w:tc>
        <w:tc>
          <w:tcPr>
            <w:tcW w:w="2732" w:type="dxa"/>
            <w:vAlign w:val="center"/>
          </w:tcPr>
          <w:p w14:paraId="7E9FB2AA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-0.20 (-0.46, 0.05)</w:t>
            </w:r>
          </w:p>
        </w:tc>
      </w:tr>
      <w:tr w:rsidR="00C11CE7" w:rsidRPr="00BB5E30" w14:paraId="36D36192" w14:textId="77777777" w:rsidTr="00CE3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1863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AD7E99A" w14:textId="77777777" w:rsidR="00C11CE7" w:rsidRPr="00BB5E30" w:rsidRDefault="00C11CE7" w:rsidP="00CE39E4">
            <w:pPr>
              <w:spacing w:after="0" w:line="276" w:lineRule="auto"/>
              <w:rPr>
                <w:b/>
              </w:rPr>
            </w:pPr>
          </w:p>
        </w:tc>
        <w:tc>
          <w:tcPr>
            <w:tcW w:w="2162" w:type="dxa"/>
            <w:tcBorders>
              <w:bottom w:val="single" w:sz="8" w:space="0" w:color="auto"/>
            </w:tcBorders>
            <w:vAlign w:val="center"/>
            <w:hideMark/>
          </w:tcPr>
          <w:p w14:paraId="5829A717" w14:textId="77777777" w:rsidR="00C11CE7" w:rsidRPr="00BB5E30" w:rsidRDefault="00C11CE7" w:rsidP="00CE39E4">
            <w:pPr>
              <w:spacing w:after="0" w:line="276" w:lineRule="auto"/>
            </w:pPr>
            <w:r w:rsidRPr="00BB5E30">
              <w:t>Reasoning</w:t>
            </w:r>
          </w:p>
        </w:tc>
        <w:tc>
          <w:tcPr>
            <w:tcW w:w="2212" w:type="dxa"/>
            <w:tcBorders>
              <w:bottom w:val="single" w:sz="8" w:space="0" w:color="auto"/>
            </w:tcBorders>
            <w:vAlign w:val="center"/>
          </w:tcPr>
          <w:p w14:paraId="50FBF7A5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0.01 (-0.03, 0.05)</w:t>
            </w:r>
          </w:p>
        </w:tc>
        <w:tc>
          <w:tcPr>
            <w:tcW w:w="2732" w:type="dxa"/>
            <w:tcBorders>
              <w:bottom w:val="single" w:sz="8" w:space="0" w:color="auto"/>
            </w:tcBorders>
            <w:vAlign w:val="center"/>
          </w:tcPr>
          <w:p w14:paraId="6D584A0F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-0.01 (-0.03, 0.01)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14:paraId="6F1E0879" w14:textId="77777777" w:rsidR="00C11CE7" w:rsidRPr="00BB5E30" w:rsidRDefault="00C11CE7" w:rsidP="00CE39E4">
            <w:pPr>
              <w:spacing w:after="0" w:line="276" w:lineRule="auto"/>
              <w:jc w:val="center"/>
              <w:rPr>
                <w:bCs/>
              </w:rPr>
            </w:pPr>
          </w:p>
        </w:tc>
        <w:tc>
          <w:tcPr>
            <w:tcW w:w="2173" w:type="dxa"/>
            <w:tcBorders>
              <w:bottom w:val="single" w:sz="8" w:space="0" w:color="auto"/>
            </w:tcBorders>
            <w:vAlign w:val="center"/>
          </w:tcPr>
          <w:p w14:paraId="6E3800DE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0.09 (-0.20, 0.38)</w:t>
            </w:r>
          </w:p>
        </w:tc>
        <w:tc>
          <w:tcPr>
            <w:tcW w:w="2732" w:type="dxa"/>
            <w:tcBorders>
              <w:bottom w:val="single" w:sz="8" w:space="0" w:color="auto"/>
            </w:tcBorders>
            <w:vAlign w:val="center"/>
          </w:tcPr>
          <w:p w14:paraId="758628AD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rPr>
                <w:bCs/>
              </w:rPr>
              <w:t>0.00 (-0.21, 0.21)</w:t>
            </w:r>
          </w:p>
        </w:tc>
      </w:tr>
      <w:tr w:rsidR="00C11CE7" w:rsidRPr="00BB5E30" w14:paraId="2505A317" w14:textId="77777777" w:rsidTr="00CE39E4">
        <w:trPr>
          <w:trHeight w:val="67"/>
        </w:trPr>
        <w:tc>
          <w:tcPr>
            <w:tcW w:w="1863" w:type="dxa"/>
            <w:tcBorders>
              <w:top w:val="single" w:sz="8" w:space="0" w:color="auto"/>
            </w:tcBorders>
            <w:vAlign w:val="center"/>
          </w:tcPr>
          <w:p w14:paraId="6652E718" w14:textId="77777777" w:rsidR="00C11CE7" w:rsidRPr="00BB5E30" w:rsidRDefault="00C11CE7" w:rsidP="00CE39E4">
            <w:pPr>
              <w:spacing w:after="0" w:line="276" w:lineRule="auto"/>
              <w:rPr>
                <w:b/>
                <w:sz w:val="14"/>
              </w:rPr>
            </w:pPr>
          </w:p>
        </w:tc>
        <w:tc>
          <w:tcPr>
            <w:tcW w:w="2162" w:type="dxa"/>
            <w:tcBorders>
              <w:top w:val="single" w:sz="8" w:space="0" w:color="auto"/>
            </w:tcBorders>
            <w:vAlign w:val="center"/>
          </w:tcPr>
          <w:p w14:paraId="15786162" w14:textId="77777777" w:rsidR="00C11CE7" w:rsidRPr="00BB5E30" w:rsidRDefault="00C11CE7" w:rsidP="00CE39E4">
            <w:pPr>
              <w:spacing w:after="0" w:line="276" w:lineRule="auto"/>
              <w:rPr>
                <w:sz w:val="14"/>
              </w:rPr>
            </w:pPr>
          </w:p>
        </w:tc>
        <w:tc>
          <w:tcPr>
            <w:tcW w:w="2212" w:type="dxa"/>
            <w:tcBorders>
              <w:top w:val="single" w:sz="8" w:space="0" w:color="auto"/>
            </w:tcBorders>
            <w:vAlign w:val="center"/>
          </w:tcPr>
          <w:p w14:paraId="463CA206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sz w:val="14"/>
              </w:rPr>
            </w:pPr>
          </w:p>
        </w:tc>
        <w:tc>
          <w:tcPr>
            <w:tcW w:w="2732" w:type="dxa"/>
            <w:tcBorders>
              <w:top w:val="single" w:sz="8" w:space="0" w:color="auto"/>
            </w:tcBorders>
            <w:vAlign w:val="center"/>
          </w:tcPr>
          <w:p w14:paraId="1F20AD94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sz w:val="14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43AFC1BC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sz w:val="14"/>
              </w:rPr>
            </w:pPr>
          </w:p>
        </w:tc>
        <w:tc>
          <w:tcPr>
            <w:tcW w:w="2173" w:type="dxa"/>
            <w:tcBorders>
              <w:top w:val="single" w:sz="8" w:space="0" w:color="auto"/>
            </w:tcBorders>
            <w:vAlign w:val="center"/>
          </w:tcPr>
          <w:p w14:paraId="48A82143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sz w:val="14"/>
              </w:rPr>
            </w:pPr>
          </w:p>
        </w:tc>
        <w:tc>
          <w:tcPr>
            <w:tcW w:w="2732" w:type="dxa"/>
            <w:tcBorders>
              <w:top w:val="single" w:sz="8" w:space="0" w:color="auto"/>
            </w:tcBorders>
            <w:vAlign w:val="center"/>
          </w:tcPr>
          <w:p w14:paraId="7510EA9E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sz w:val="14"/>
              </w:rPr>
            </w:pPr>
          </w:p>
        </w:tc>
      </w:tr>
      <w:tr w:rsidR="00C11CE7" w:rsidRPr="00BB5E30" w14:paraId="52717830" w14:textId="77777777" w:rsidTr="00CE3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863" w:type="dxa"/>
            <w:tcBorders>
              <w:top w:val="single" w:sz="8" w:space="0" w:color="auto"/>
            </w:tcBorders>
            <w:vAlign w:val="center"/>
            <w:hideMark/>
          </w:tcPr>
          <w:p w14:paraId="644E6E36" w14:textId="77777777" w:rsidR="00C11CE7" w:rsidRPr="00BB5E30" w:rsidRDefault="00C11CE7" w:rsidP="00CE39E4">
            <w:pPr>
              <w:spacing w:after="0" w:line="276" w:lineRule="auto"/>
              <w:rPr>
                <w:b/>
              </w:rPr>
            </w:pPr>
            <w:r w:rsidRPr="00BB5E30">
              <w:rPr>
                <w:b/>
              </w:rPr>
              <w:t>Friend contact</w:t>
            </w:r>
          </w:p>
        </w:tc>
        <w:tc>
          <w:tcPr>
            <w:tcW w:w="2162" w:type="dxa"/>
            <w:tcBorders>
              <w:top w:val="single" w:sz="8" w:space="0" w:color="auto"/>
            </w:tcBorders>
            <w:vAlign w:val="center"/>
            <w:hideMark/>
          </w:tcPr>
          <w:p w14:paraId="2FE70B0C" w14:textId="77777777" w:rsidR="00C11CE7" w:rsidRPr="00BB5E30" w:rsidRDefault="00C11CE7" w:rsidP="00CE39E4">
            <w:pPr>
              <w:spacing w:after="0" w:line="276" w:lineRule="auto"/>
            </w:pPr>
            <w:r w:rsidRPr="00BB5E30">
              <w:t>Combined cognition</w:t>
            </w:r>
          </w:p>
        </w:tc>
        <w:tc>
          <w:tcPr>
            <w:tcW w:w="2212" w:type="dxa"/>
            <w:tcBorders>
              <w:top w:val="single" w:sz="8" w:space="0" w:color="auto"/>
            </w:tcBorders>
            <w:vAlign w:val="center"/>
          </w:tcPr>
          <w:p w14:paraId="4D9FA7BF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  <w:r w:rsidRPr="00BB5E30">
              <w:rPr>
                <w:b/>
              </w:rPr>
              <w:t>0.08 (0.03, 0.12)</w:t>
            </w:r>
          </w:p>
        </w:tc>
        <w:tc>
          <w:tcPr>
            <w:tcW w:w="2732" w:type="dxa"/>
            <w:tcBorders>
              <w:top w:val="single" w:sz="8" w:space="0" w:color="auto"/>
            </w:tcBorders>
            <w:vAlign w:val="center"/>
          </w:tcPr>
          <w:p w14:paraId="00F322CE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  <w:r w:rsidRPr="00BB5E30">
              <w:rPr>
                <w:b/>
              </w:rPr>
              <w:t>-0.03 (-0.05, -0.00)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0A8AF934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173" w:type="dxa"/>
            <w:tcBorders>
              <w:top w:val="single" w:sz="8" w:space="0" w:color="auto"/>
            </w:tcBorders>
            <w:vAlign w:val="center"/>
          </w:tcPr>
          <w:p w14:paraId="1086F47F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  <w:r w:rsidRPr="00BB5E30">
              <w:rPr>
                <w:b/>
              </w:rPr>
              <w:t>0.35 (0.01, 0.69)</w:t>
            </w:r>
          </w:p>
        </w:tc>
        <w:tc>
          <w:tcPr>
            <w:tcW w:w="2732" w:type="dxa"/>
            <w:tcBorders>
              <w:top w:val="single" w:sz="8" w:space="0" w:color="auto"/>
            </w:tcBorders>
            <w:vAlign w:val="center"/>
          </w:tcPr>
          <w:p w14:paraId="245E5862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  <w:r w:rsidRPr="00BB5E30">
              <w:rPr>
                <w:b/>
              </w:rPr>
              <w:t>-0.28 (-0.50, -0.06)</w:t>
            </w:r>
          </w:p>
        </w:tc>
      </w:tr>
      <w:tr w:rsidR="00C11CE7" w:rsidRPr="00BB5E30" w14:paraId="3F47DFE8" w14:textId="77777777" w:rsidTr="00CE39E4">
        <w:trPr>
          <w:trHeight w:val="67"/>
        </w:trPr>
        <w:tc>
          <w:tcPr>
            <w:tcW w:w="1863" w:type="dxa"/>
            <w:tcBorders>
              <w:top w:val="single" w:sz="8" w:space="0" w:color="auto"/>
            </w:tcBorders>
            <w:vAlign w:val="center"/>
          </w:tcPr>
          <w:p w14:paraId="661C9DB1" w14:textId="77777777" w:rsidR="00C11CE7" w:rsidRPr="00BB5E30" w:rsidRDefault="00C11CE7" w:rsidP="00CE39E4">
            <w:pPr>
              <w:spacing w:after="0" w:line="276" w:lineRule="auto"/>
              <w:rPr>
                <w:b/>
                <w:sz w:val="14"/>
                <w:szCs w:val="6"/>
              </w:rPr>
            </w:pPr>
          </w:p>
        </w:tc>
        <w:tc>
          <w:tcPr>
            <w:tcW w:w="2162" w:type="dxa"/>
            <w:tcBorders>
              <w:top w:val="single" w:sz="8" w:space="0" w:color="auto"/>
            </w:tcBorders>
            <w:vAlign w:val="center"/>
          </w:tcPr>
          <w:p w14:paraId="72DA8622" w14:textId="77777777" w:rsidR="00C11CE7" w:rsidRPr="00BB5E30" w:rsidRDefault="00C11CE7" w:rsidP="00CE39E4">
            <w:pPr>
              <w:spacing w:after="0" w:line="276" w:lineRule="auto"/>
              <w:rPr>
                <w:sz w:val="14"/>
                <w:szCs w:val="6"/>
              </w:rPr>
            </w:pPr>
          </w:p>
        </w:tc>
        <w:tc>
          <w:tcPr>
            <w:tcW w:w="2212" w:type="dxa"/>
            <w:tcBorders>
              <w:top w:val="single" w:sz="8" w:space="0" w:color="auto"/>
            </w:tcBorders>
            <w:vAlign w:val="center"/>
          </w:tcPr>
          <w:p w14:paraId="4458C9B3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sz w:val="14"/>
                <w:szCs w:val="6"/>
              </w:rPr>
            </w:pPr>
          </w:p>
        </w:tc>
        <w:tc>
          <w:tcPr>
            <w:tcW w:w="2732" w:type="dxa"/>
            <w:tcBorders>
              <w:top w:val="single" w:sz="8" w:space="0" w:color="auto"/>
            </w:tcBorders>
            <w:vAlign w:val="center"/>
          </w:tcPr>
          <w:p w14:paraId="1D3EC1E7" w14:textId="77777777" w:rsidR="00C11CE7" w:rsidRPr="00BB5E30" w:rsidRDefault="00C11CE7" w:rsidP="00CE39E4">
            <w:pPr>
              <w:spacing w:after="0" w:line="276" w:lineRule="auto"/>
              <w:jc w:val="center"/>
              <w:rPr>
                <w:sz w:val="14"/>
                <w:szCs w:val="6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14:paraId="0BA187A6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  <w:sz w:val="14"/>
                <w:szCs w:val="6"/>
              </w:rPr>
            </w:pPr>
          </w:p>
        </w:tc>
        <w:tc>
          <w:tcPr>
            <w:tcW w:w="2173" w:type="dxa"/>
            <w:tcBorders>
              <w:top w:val="single" w:sz="8" w:space="0" w:color="auto"/>
            </w:tcBorders>
            <w:vAlign w:val="center"/>
          </w:tcPr>
          <w:p w14:paraId="4EDD9EC8" w14:textId="77777777" w:rsidR="00C11CE7" w:rsidRPr="00BB5E30" w:rsidRDefault="00C11CE7" w:rsidP="00CE39E4">
            <w:pPr>
              <w:spacing w:after="0" w:line="276" w:lineRule="auto"/>
              <w:jc w:val="center"/>
              <w:rPr>
                <w:sz w:val="14"/>
                <w:szCs w:val="6"/>
              </w:rPr>
            </w:pPr>
          </w:p>
        </w:tc>
        <w:tc>
          <w:tcPr>
            <w:tcW w:w="2732" w:type="dxa"/>
            <w:tcBorders>
              <w:top w:val="single" w:sz="8" w:space="0" w:color="auto"/>
            </w:tcBorders>
            <w:vAlign w:val="center"/>
          </w:tcPr>
          <w:p w14:paraId="27213054" w14:textId="77777777" w:rsidR="00C11CE7" w:rsidRPr="00BB5E30" w:rsidRDefault="00C11CE7" w:rsidP="00CE39E4">
            <w:pPr>
              <w:spacing w:after="0" w:line="276" w:lineRule="auto"/>
              <w:jc w:val="center"/>
              <w:rPr>
                <w:sz w:val="14"/>
                <w:szCs w:val="6"/>
              </w:rPr>
            </w:pPr>
          </w:p>
        </w:tc>
      </w:tr>
      <w:tr w:rsidR="00C11CE7" w:rsidRPr="00BB5E30" w14:paraId="52014304" w14:textId="77777777" w:rsidTr="00CE3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863" w:type="dxa"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14:paraId="43659582" w14:textId="77777777" w:rsidR="00C11CE7" w:rsidRPr="00BB5E30" w:rsidRDefault="00C11CE7" w:rsidP="00CE39E4">
            <w:pPr>
              <w:spacing w:after="0" w:line="276" w:lineRule="auto"/>
              <w:rPr>
                <w:b/>
              </w:rPr>
            </w:pPr>
            <w:r w:rsidRPr="00BB5E30">
              <w:rPr>
                <w:b/>
              </w:rPr>
              <w:t>Relative contact</w:t>
            </w: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14:paraId="2B2567FB" w14:textId="77777777" w:rsidR="00C11CE7" w:rsidRPr="00BB5E30" w:rsidRDefault="00C11CE7" w:rsidP="00CE39E4">
            <w:pPr>
              <w:spacing w:after="0" w:line="276" w:lineRule="auto"/>
            </w:pPr>
            <w:r w:rsidRPr="00BB5E30">
              <w:t>Combined cognition</w:t>
            </w:r>
          </w:p>
        </w:tc>
        <w:tc>
          <w:tcPr>
            <w:tcW w:w="2212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5512D429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t>-0.01 (-0.05, 0.04)</w:t>
            </w:r>
          </w:p>
        </w:tc>
        <w:tc>
          <w:tcPr>
            <w:tcW w:w="2732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4E6209C7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t>0.00 (-0.02, 0.03)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221DEBD0" w14:textId="77777777" w:rsidR="00C11CE7" w:rsidRPr="00BB5E30" w:rsidRDefault="00C11CE7" w:rsidP="00CE39E4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173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70EC6034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t>0.28 (-0.08, 0.63)</w:t>
            </w:r>
          </w:p>
        </w:tc>
        <w:tc>
          <w:tcPr>
            <w:tcW w:w="2732" w:type="dxa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14:paraId="37339C55" w14:textId="77777777" w:rsidR="00C11CE7" w:rsidRPr="00BB5E30" w:rsidRDefault="00C11CE7" w:rsidP="00CE39E4">
            <w:pPr>
              <w:spacing w:after="0" w:line="276" w:lineRule="auto"/>
              <w:jc w:val="center"/>
            </w:pPr>
            <w:r w:rsidRPr="00BB5E30">
              <w:t>-0.03 (-0.26, 0.21)</w:t>
            </w:r>
          </w:p>
        </w:tc>
      </w:tr>
    </w:tbl>
    <w:p w14:paraId="1574DE00" w14:textId="77777777" w:rsidR="00C11CE7" w:rsidRPr="00BB5E30" w:rsidRDefault="00C11CE7" w:rsidP="00C11CE7">
      <w:pPr>
        <w:pStyle w:val="Caption"/>
        <w:rPr>
          <w:bCs/>
        </w:rPr>
      </w:pPr>
    </w:p>
    <w:p w14:paraId="75B4D181" w14:textId="2425C2CC" w:rsidR="00C11CE7" w:rsidRPr="00BB5E30" w:rsidRDefault="00C11CE7" w:rsidP="00C11CE7">
      <w:pPr>
        <w:pStyle w:val="Caption"/>
        <w:rPr>
          <w:b w:val="0"/>
        </w:rPr>
      </w:pPr>
      <w:r w:rsidRPr="00BB5E30">
        <w:rPr>
          <w:bCs/>
        </w:rPr>
        <w:t>Notes:</w:t>
      </w:r>
      <w:r w:rsidRPr="00BB5E30">
        <w:rPr>
          <w:b w:val="0"/>
          <w:bCs/>
        </w:rPr>
        <w:t xml:space="preserve"> Baseline cognition centred at age 56 years; Number included in analysis of dementia-free participants = 6,810, dementia-cases = 282; All figures adjusted for age, sex, </w:t>
      </w:r>
      <w:r w:rsidRPr="00BB5E30">
        <w:rPr>
          <w:b w:val="0"/>
        </w:rPr>
        <w:t>education, social class, ethnicity, smoking, alcohol, exercise, employment status, and marital status at baseline; Bold figures indicate p &lt; 0.0</w:t>
      </w:r>
      <w:r w:rsidR="008F36FF">
        <w:rPr>
          <w:b w:val="0"/>
        </w:rPr>
        <w:t>5</w:t>
      </w:r>
    </w:p>
    <w:sectPr w:rsidR="00C11CE7" w:rsidRPr="00BB5E30" w:rsidSect="00DE3BAA">
      <w:headerReference w:type="default" r:id="rId7"/>
      <w:footerReference w:type="even" r:id="rId8"/>
      <w:footerReference w:type="default" r:id="rId9"/>
      <w:pgSz w:w="16834" w:h="11909" w:orient="landscape"/>
      <w:pgMar w:top="1134" w:right="899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6AA99" w14:textId="77777777" w:rsidR="006B1CA4" w:rsidRDefault="006B1CA4" w:rsidP="00074C2B">
      <w:pPr>
        <w:spacing w:after="0" w:line="240" w:lineRule="auto"/>
      </w:pPr>
      <w:r>
        <w:separator/>
      </w:r>
    </w:p>
  </w:endnote>
  <w:endnote w:type="continuationSeparator" w:id="0">
    <w:p w14:paraId="5D2CB222" w14:textId="77777777" w:rsidR="006B1CA4" w:rsidRDefault="006B1CA4" w:rsidP="0007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17D1" w14:textId="77777777" w:rsidR="006B1CA4" w:rsidRDefault="006B1CA4" w:rsidP="00CE3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BAC62" w14:textId="77777777" w:rsidR="006B1CA4" w:rsidRDefault="006B1CA4" w:rsidP="00CE3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95C0" w14:textId="25428DFE" w:rsidR="006B1CA4" w:rsidRDefault="006B1CA4" w:rsidP="00CE3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F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7AD1C" w14:textId="77777777" w:rsidR="006B1CA4" w:rsidRDefault="006B1CA4" w:rsidP="00CE3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956F8" w14:textId="77777777" w:rsidR="006B1CA4" w:rsidRDefault="006B1CA4" w:rsidP="00074C2B">
      <w:pPr>
        <w:spacing w:after="0" w:line="240" w:lineRule="auto"/>
      </w:pPr>
      <w:r>
        <w:separator/>
      </w:r>
    </w:p>
  </w:footnote>
  <w:footnote w:type="continuationSeparator" w:id="0">
    <w:p w14:paraId="3164B59D" w14:textId="77777777" w:rsidR="006B1CA4" w:rsidRDefault="006B1CA4" w:rsidP="0007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53C9" w14:textId="77777777" w:rsidR="0021489A" w:rsidRDefault="0021489A" w:rsidP="0021489A">
    <w:pPr>
      <w:pStyle w:val="Header"/>
    </w:pPr>
    <w:r w:rsidRPr="00AC2C83">
      <w:rPr>
        <w:b/>
      </w:rPr>
      <w:t>Association of social contact with dementia and cognition: 28-year follow-up of the Whitehall II cohort study</w:t>
    </w:r>
  </w:p>
  <w:p w14:paraId="51801B5D" w14:textId="77777777" w:rsidR="0021489A" w:rsidRDefault="0021489A" w:rsidP="0021489A">
    <w:pPr>
      <w:pStyle w:val="Header"/>
      <w:rPr>
        <w:bCs/>
      </w:rPr>
    </w:pPr>
    <w:r w:rsidRPr="00AC2C83">
      <w:rPr>
        <w:bCs/>
      </w:rPr>
      <w:t>Andrew Sommerlad, Séverine Sabia, Archana Singh-Manoux, Glyn Lewis, Gill Livingston</w:t>
    </w:r>
  </w:p>
  <w:p w14:paraId="6DA6E9E8" w14:textId="77777777" w:rsidR="007E3AD0" w:rsidRDefault="007E3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ED4"/>
    <w:multiLevelType w:val="hybridMultilevel"/>
    <w:tmpl w:val="49800B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3896"/>
    <w:multiLevelType w:val="hybridMultilevel"/>
    <w:tmpl w:val="17AA5D00"/>
    <w:lvl w:ilvl="0" w:tplc="EB7451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10C5"/>
    <w:multiLevelType w:val="hybridMultilevel"/>
    <w:tmpl w:val="03D8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21D3"/>
    <w:multiLevelType w:val="hybridMultilevel"/>
    <w:tmpl w:val="8EA0F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A7E3E"/>
    <w:multiLevelType w:val="hybridMultilevel"/>
    <w:tmpl w:val="6E9AA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47C4"/>
    <w:multiLevelType w:val="hybridMultilevel"/>
    <w:tmpl w:val="78306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122E"/>
    <w:multiLevelType w:val="hybridMultilevel"/>
    <w:tmpl w:val="7868B7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E0"/>
    <w:rsid w:val="0000355F"/>
    <w:rsid w:val="00026E39"/>
    <w:rsid w:val="00045FB3"/>
    <w:rsid w:val="00060519"/>
    <w:rsid w:val="00074C2B"/>
    <w:rsid w:val="000B331B"/>
    <w:rsid w:val="000B66F3"/>
    <w:rsid w:val="00112BC8"/>
    <w:rsid w:val="001165FD"/>
    <w:rsid w:val="00116E3D"/>
    <w:rsid w:val="00140642"/>
    <w:rsid w:val="00186154"/>
    <w:rsid w:val="00195D5C"/>
    <w:rsid w:val="001A2C77"/>
    <w:rsid w:val="001A3782"/>
    <w:rsid w:val="001B1DBD"/>
    <w:rsid w:val="001B57DB"/>
    <w:rsid w:val="001C30B0"/>
    <w:rsid w:val="0021489A"/>
    <w:rsid w:val="002312E3"/>
    <w:rsid w:val="00257893"/>
    <w:rsid w:val="00283771"/>
    <w:rsid w:val="002C1E0D"/>
    <w:rsid w:val="002C63C6"/>
    <w:rsid w:val="002D241F"/>
    <w:rsid w:val="002D470C"/>
    <w:rsid w:val="003068BA"/>
    <w:rsid w:val="00335808"/>
    <w:rsid w:val="00346A1C"/>
    <w:rsid w:val="0036375B"/>
    <w:rsid w:val="0039066A"/>
    <w:rsid w:val="00394DB5"/>
    <w:rsid w:val="003B2D44"/>
    <w:rsid w:val="003C251A"/>
    <w:rsid w:val="003F39F3"/>
    <w:rsid w:val="0040084B"/>
    <w:rsid w:val="0040784B"/>
    <w:rsid w:val="0042745A"/>
    <w:rsid w:val="00431890"/>
    <w:rsid w:val="00432042"/>
    <w:rsid w:val="00466ADE"/>
    <w:rsid w:val="00471E24"/>
    <w:rsid w:val="00483A84"/>
    <w:rsid w:val="0048687A"/>
    <w:rsid w:val="004A225E"/>
    <w:rsid w:val="004B2E39"/>
    <w:rsid w:val="004B7C2D"/>
    <w:rsid w:val="004D0378"/>
    <w:rsid w:val="004E635E"/>
    <w:rsid w:val="00525197"/>
    <w:rsid w:val="00526540"/>
    <w:rsid w:val="00555118"/>
    <w:rsid w:val="005F054C"/>
    <w:rsid w:val="006108EC"/>
    <w:rsid w:val="006327C1"/>
    <w:rsid w:val="00636204"/>
    <w:rsid w:val="0069459F"/>
    <w:rsid w:val="006B1CA4"/>
    <w:rsid w:val="006B798E"/>
    <w:rsid w:val="006F41C4"/>
    <w:rsid w:val="00727DC8"/>
    <w:rsid w:val="00744A30"/>
    <w:rsid w:val="007721E8"/>
    <w:rsid w:val="00772D62"/>
    <w:rsid w:val="007A4593"/>
    <w:rsid w:val="007A7493"/>
    <w:rsid w:val="007B4349"/>
    <w:rsid w:val="007D0899"/>
    <w:rsid w:val="007D6DDF"/>
    <w:rsid w:val="007E3AD0"/>
    <w:rsid w:val="00800949"/>
    <w:rsid w:val="00820252"/>
    <w:rsid w:val="0083035C"/>
    <w:rsid w:val="0087085E"/>
    <w:rsid w:val="008D0171"/>
    <w:rsid w:val="008F36FF"/>
    <w:rsid w:val="00903A40"/>
    <w:rsid w:val="00905888"/>
    <w:rsid w:val="00935077"/>
    <w:rsid w:val="00950AC2"/>
    <w:rsid w:val="00953E93"/>
    <w:rsid w:val="0096284B"/>
    <w:rsid w:val="00986DCB"/>
    <w:rsid w:val="0099721F"/>
    <w:rsid w:val="009C70BB"/>
    <w:rsid w:val="009D7029"/>
    <w:rsid w:val="009F0C31"/>
    <w:rsid w:val="009F2176"/>
    <w:rsid w:val="00A05A73"/>
    <w:rsid w:val="00A136C9"/>
    <w:rsid w:val="00A41876"/>
    <w:rsid w:val="00A750F9"/>
    <w:rsid w:val="00AC2C83"/>
    <w:rsid w:val="00B2142C"/>
    <w:rsid w:val="00B72F0F"/>
    <w:rsid w:val="00B80BC9"/>
    <w:rsid w:val="00B838C2"/>
    <w:rsid w:val="00B96DF7"/>
    <w:rsid w:val="00BA07C8"/>
    <w:rsid w:val="00BB5E30"/>
    <w:rsid w:val="00BE137D"/>
    <w:rsid w:val="00BF72A0"/>
    <w:rsid w:val="00C11CE7"/>
    <w:rsid w:val="00C432CD"/>
    <w:rsid w:val="00C63D6F"/>
    <w:rsid w:val="00C65497"/>
    <w:rsid w:val="00C6592C"/>
    <w:rsid w:val="00C82BB5"/>
    <w:rsid w:val="00CE39E4"/>
    <w:rsid w:val="00CE3DBD"/>
    <w:rsid w:val="00CF5B6D"/>
    <w:rsid w:val="00D263FD"/>
    <w:rsid w:val="00D43818"/>
    <w:rsid w:val="00D5161D"/>
    <w:rsid w:val="00D832CA"/>
    <w:rsid w:val="00DC077A"/>
    <w:rsid w:val="00DE3BAA"/>
    <w:rsid w:val="00E21EFA"/>
    <w:rsid w:val="00E26D4C"/>
    <w:rsid w:val="00E61618"/>
    <w:rsid w:val="00E727E0"/>
    <w:rsid w:val="00E83FAB"/>
    <w:rsid w:val="00E90D98"/>
    <w:rsid w:val="00EA0E23"/>
    <w:rsid w:val="00EB0542"/>
    <w:rsid w:val="00EB1151"/>
    <w:rsid w:val="00EC701F"/>
    <w:rsid w:val="00ED7922"/>
    <w:rsid w:val="00F26993"/>
    <w:rsid w:val="00F34210"/>
    <w:rsid w:val="00F45C28"/>
    <w:rsid w:val="00F510A8"/>
    <w:rsid w:val="00F73047"/>
    <w:rsid w:val="00F737E7"/>
    <w:rsid w:val="00F83B86"/>
    <w:rsid w:val="00F872E2"/>
    <w:rsid w:val="00FC057E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4E1DF"/>
  <w15:chartTrackingRefBased/>
  <w15:docId w15:val="{A6C3CED3-08CD-4B55-825F-908ACC49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E0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3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8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8C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8C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38C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38C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99"/>
    <w:rsid w:val="00E727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727E0"/>
    <w:pPr>
      <w:spacing w:after="200" w:line="240" w:lineRule="auto"/>
    </w:pPr>
    <w:rPr>
      <w:b/>
      <w:iCs/>
      <w:szCs w:val="18"/>
    </w:rPr>
  </w:style>
  <w:style w:type="table" w:styleId="TableGrid">
    <w:name w:val="Table Grid"/>
    <w:basedOn w:val="TableNormal"/>
    <w:uiPriority w:val="59"/>
    <w:rsid w:val="00C11C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57DB"/>
    <w:pPr>
      <w:tabs>
        <w:tab w:val="center" w:pos="4513"/>
        <w:tab w:val="right" w:pos="9026"/>
      </w:tabs>
      <w:spacing w:after="36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57D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2B"/>
  </w:style>
  <w:style w:type="character" w:styleId="PageNumber">
    <w:name w:val="page number"/>
    <w:basedOn w:val="DefaultParagraphFont"/>
    <w:rsid w:val="006327C1"/>
  </w:style>
  <w:style w:type="character" w:customStyle="1" w:styleId="Heading2Char">
    <w:name w:val="Heading 2 Char"/>
    <w:basedOn w:val="DefaultParagraphFont"/>
    <w:link w:val="Heading2"/>
    <w:uiPriority w:val="9"/>
    <w:rsid w:val="00B838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838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38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838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838C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838C2"/>
    <w:pPr>
      <w:spacing w:after="200" w:line="276" w:lineRule="auto"/>
      <w:ind w:left="720"/>
      <w:contextualSpacing/>
    </w:pPr>
    <w:rPr>
      <w:lang w:val="fr-FR"/>
    </w:rPr>
  </w:style>
  <w:style w:type="table" w:styleId="ListTable2">
    <w:name w:val="List Table 2"/>
    <w:basedOn w:val="TableNormal"/>
    <w:uiPriority w:val="47"/>
    <w:rsid w:val="00B838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838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838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38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Sommerlad</dc:creator>
  <cp:keywords/>
  <dc:description/>
  <cp:lastModifiedBy>Andrew Sommerlad</cp:lastModifiedBy>
  <cp:revision>5</cp:revision>
  <dcterms:created xsi:type="dcterms:W3CDTF">2019-06-24T10:58:00Z</dcterms:created>
  <dcterms:modified xsi:type="dcterms:W3CDTF">2019-06-25T14:43:00Z</dcterms:modified>
</cp:coreProperties>
</file>