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84"/>
        <w:tblW w:w="9638" w:type="dxa"/>
        <w:tblLook w:val="04A0" w:firstRow="1" w:lastRow="0" w:firstColumn="1" w:lastColumn="0" w:noHBand="0" w:noVBand="1"/>
      </w:tblPr>
      <w:tblGrid>
        <w:gridCol w:w="619"/>
        <w:gridCol w:w="154"/>
        <w:gridCol w:w="578"/>
        <w:gridCol w:w="2082"/>
        <w:gridCol w:w="872"/>
        <w:gridCol w:w="1039"/>
        <w:gridCol w:w="1102"/>
        <w:gridCol w:w="872"/>
        <w:gridCol w:w="1264"/>
        <w:gridCol w:w="1056"/>
      </w:tblGrid>
      <w:tr w:rsidR="002E1765" w:rsidRPr="008E5515" w:rsidTr="002E1765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Unadjusted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Adjusted for study, sex, age</w:t>
            </w:r>
          </w:p>
        </w:tc>
      </w:tr>
      <w:tr w:rsidR="002E1765" w:rsidRPr="008E5515" w:rsidTr="002E1765">
        <w:trPr>
          <w:trHeight w:val="284"/>
        </w:trPr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Cox regression models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Haz ratio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Haz ratio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Non-fatal cardiovascular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 xml:space="preserve"> events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Group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Intervention vs Control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(0.07, 0.75)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0.24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(0.07, 0.77)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0.02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Study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PACE-UP vs PACE-Lift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0.80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(0.24, 2.64)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0.71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Sex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Male vs Female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0.61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(0.19, 1.94)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0.40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Age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per year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(1.02, 1.20)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0.01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 xml:space="preserve">Non-fatal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and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 xml:space="preserve"> fatal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cardiovascular 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events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Group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Intervention vs Control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(0.12, 0.87)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0.34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(0.12, 0.91)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0.03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Study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PACE-UP vs PACE-Lift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(0.38, 3.02)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0.89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Sex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Male vs Female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(0.39, 2.71)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0.96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Age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per year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(1.03, 1.19)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0.01</w:t>
            </w:r>
          </w:p>
        </w:tc>
      </w:tr>
      <w:tr w:rsidR="002E1765" w:rsidRPr="000E1B10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0E1B10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8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0E1B10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Diabetes diagnosis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Group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Intervention vs Control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0.76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(0.42, 1.36)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0.75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(0.42, 1.36)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0.34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Study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PACE-UP vs PACE-Lift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0.74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(0.34, 1.61)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0.44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Sex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Male vs Female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(0.54, 1.82)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0.99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Age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per year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(0.99, 1.07)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0.14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Depression diagnosis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Group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Intervention vs Control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(0.49, 2.18)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0.92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0.98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(0.46, 2.07)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0.96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Study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PACE-UP vs PACE-Lift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0.69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(0.22, 2.15)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0.52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Sex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Male vs Female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(0.54, 2.35)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0.75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Age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per year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0.98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(0.94, 1.03)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0.49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Fractures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Group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Intervention vs Control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0.55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(0.35, 0.88)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0.56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(0.35, 0.90)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0.02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Study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PACE-UP vs PACE-Lift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0.91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(0.50, 1.66)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0.77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Sex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Male vs Female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0.63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(0.37, 1.05)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0.08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Age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per year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1.03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(1.00, 1.07)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0.06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Negative binomial models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Unadjusted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Adjusted for study, sex, age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Falls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IRR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IRR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Group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Intervention vs Control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(0.76, 1.43)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0.78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(0.78, 1.46)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0.67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Study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PACE-UP vs PACE-Lift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(0.73, 1.57)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0.71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Sex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Male vs Female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0.62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(0.45, 0.86)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0.004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Age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per year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(1.01, 1.05)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0.005</w:t>
            </w:r>
          </w:p>
        </w:tc>
      </w:tr>
      <w:tr w:rsidR="002E1765" w:rsidRPr="008E5515" w:rsidTr="002E1765">
        <w:trPr>
          <w:trHeight w:val="70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 for LR test α=0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 for LR test α=0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Over</w:t>
            </w:r>
            <w:r>
              <w:rPr>
                <w:rFonts w:eastAsia="Times New Roman" w:cs="Times New Roman"/>
                <w:lang w:eastAsia="en-GB"/>
              </w:rPr>
              <w:t>-</w:t>
            </w:r>
            <w:r w:rsidRPr="008E5515">
              <w:rPr>
                <w:rFonts w:eastAsia="Times New Roman" w:cs="Times New Roman"/>
                <w:lang w:eastAsia="en-GB"/>
              </w:rPr>
              <w:t>dispersion parameter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1.83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(1.13, 2.97)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&lt;0.001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1.58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(0.94, 2.63)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&lt;0.001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left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30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Unadjusted</w:t>
            </w:r>
          </w:p>
        </w:tc>
        <w:tc>
          <w:tcPr>
            <w:tcW w:w="319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Adjusted for study, sex, age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Consultations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IRR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IRR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Group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Intervention vs Control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(0.92, 1.10)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0.84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(0.93, 1.10)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0.82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Study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PACE-UP vs PACE-Lift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0.85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(0.77, 0.95)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0.004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Sex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Male vs Female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0.87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(0.80, 0.95)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0.001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Age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per year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1.02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(1.02, 1.03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&lt;0.001</w:t>
            </w:r>
          </w:p>
        </w:tc>
      </w:tr>
      <w:tr w:rsidR="002E1765" w:rsidRPr="008E5515" w:rsidTr="002E1765">
        <w:trPr>
          <w:trHeight w:val="702"/>
        </w:trPr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 for LR test α=0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lang w:eastAsia="en-GB"/>
              </w:rPr>
              <w:t>(95% CI)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8E5515">
              <w:rPr>
                <w:rFonts w:eastAsia="Times New Roman" w:cs="Times New Roman"/>
                <w:b/>
                <w:bCs/>
                <w:i/>
                <w:iCs/>
                <w:lang w:eastAsia="en-GB"/>
              </w:rPr>
              <w:t>p</w:t>
            </w:r>
            <w:r w:rsidRPr="008E5515">
              <w:rPr>
                <w:rFonts w:eastAsia="Times New Roman" w:cs="Times New Roman"/>
                <w:b/>
                <w:bCs/>
                <w:lang w:eastAsia="en-GB"/>
              </w:rPr>
              <w:t>-value for LR test α=0</w:t>
            </w:r>
          </w:p>
        </w:tc>
      </w:tr>
      <w:tr w:rsidR="002E1765" w:rsidRPr="008E5515" w:rsidTr="002E1765">
        <w:trPr>
          <w:trHeight w:hRule="exact" w:val="255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Over</w:t>
            </w:r>
            <w:r>
              <w:rPr>
                <w:rFonts w:eastAsia="Times New Roman" w:cs="Times New Roman"/>
                <w:lang w:eastAsia="en-GB"/>
              </w:rPr>
              <w:t>-</w:t>
            </w:r>
            <w:r w:rsidRPr="008E5515">
              <w:rPr>
                <w:rFonts w:eastAsia="Times New Roman" w:cs="Times New Roman"/>
                <w:lang w:eastAsia="en-GB"/>
              </w:rPr>
              <w:t>dispersion parameter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0.54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(0.50, 0.59)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&lt;0.001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0.51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(0.47, 0.56)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5515">
              <w:rPr>
                <w:rFonts w:eastAsia="Times New Roman" w:cs="Times New Roman"/>
                <w:lang w:eastAsia="en-GB"/>
              </w:rPr>
              <w:t>&lt;0.001</w:t>
            </w:r>
          </w:p>
        </w:tc>
      </w:tr>
      <w:tr w:rsidR="002E1765" w:rsidRPr="008E5515" w:rsidTr="002E1765">
        <w:trPr>
          <w:trHeight w:hRule="exact" w:val="170"/>
        </w:trPr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E1765" w:rsidRPr="008E5515" w:rsidRDefault="002E1765" w:rsidP="000E1B10">
            <w:pPr>
              <w:spacing w:after="0" w:line="240" w:lineRule="auto"/>
              <w:jc w:val="righ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E1765" w:rsidRPr="008E5515" w:rsidRDefault="002E1765" w:rsidP="000E1B1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:rsidR="000E1B10" w:rsidRPr="000E1B10" w:rsidRDefault="000E1B10">
      <w:pPr>
        <w:rPr>
          <w:b/>
        </w:rPr>
      </w:pPr>
      <w:r w:rsidRPr="000E1B10">
        <w:rPr>
          <w:b/>
        </w:rPr>
        <w:t>S1</w:t>
      </w:r>
      <w:r w:rsidR="002E1765">
        <w:rPr>
          <w:b/>
        </w:rPr>
        <w:t>_Table:</w:t>
      </w:r>
      <w:bookmarkStart w:id="0" w:name="_GoBack"/>
      <w:bookmarkEnd w:id="0"/>
      <w:r w:rsidRPr="000E1B10">
        <w:rPr>
          <w:b/>
        </w:rPr>
        <w:t xml:space="preserve"> Coefficients for Cox regression and negative binomial models</w:t>
      </w:r>
    </w:p>
    <w:p w:rsidR="000E1B10" w:rsidRDefault="000E1B10"/>
    <w:sectPr w:rsidR="000E1B10" w:rsidSect="008E5515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5"/>
    <w:rsid w:val="000E1B10"/>
    <w:rsid w:val="00193E48"/>
    <w:rsid w:val="002E1765"/>
    <w:rsid w:val="004319B0"/>
    <w:rsid w:val="008E5515"/>
    <w:rsid w:val="00A62CC2"/>
    <w:rsid w:val="00AE3053"/>
    <w:rsid w:val="00CB4CFE"/>
    <w:rsid w:val="00DD7D0D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A481"/>
  <w15:chartTrackingRefBased/>
  <w15:docId w15:val="{9C47CF53-5E60-4E06-A8BF-E3D67604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Limb</dc:creator>
  <cp:keywords/>
  <dc:description/>
  <cp:lastModifiedBy>Tess's New HP</cp:lastModifiedBy>
  <cp:revision>2</cp:revision>
  <dcterms:created xsi:type="dcterms:W3CDTF">2019-05-10T08:59:00Z</dcterms:created>
  <dcterms:modified xsi:type="dcterms:W3CDTF">2019-05-10T08:59:00Z</dcterms:modified>
</cp:coreProperties>
</file>