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BABAE" w14:textId="47D36158" w:rsidR="00B95D65" w:rsidRDefault="00B95D65" w:rsidP="00B95D6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S2 Text</w:t>
      </w:r>
      <w:bookmarkStart w:id="0" w:name="_GoBack"/>
      <w:bookmarkEnd w:id="0"/>
      <w:r w:rsidRPr="00356322">
        <w:rPr>
          <w:rFonts w:ascii="Arial" w:hAnsi="Arial" w:cs="Arial"/>
          <w:b/>
          <w:sz w:val="22"/>
          <w:szCs w:val="22"/>
        </w:rPr>
        <w:t>. Study Inclusion and Exclusion criteria</w:t>
      </w:r>
    </w:p>
    <w:p w14:paraId="1765F3B3" w14:textId="77777777" w:rsidR="00B95D65" w:rsidRPr="00356322" w:rsidRDefault="00B95D65" w:rsidP="00B95D6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12" w:space="0" w:color="008000"/>
          <w:bottom w:val="single" w:sz="12" w:space="0" w:color="008000"/>
        </w:tblBorders>
        <w:tblLook w:val="01A0" w:firstRow="1" w:lastRow="0" w:firstColumn="1" w:lastColumn="1" w:noHBand="0" w:noVBand="0"/>
      </w:tblPr>
      <w:tblGrid>
        <w:gridCol w:w="8856"/>
      </w:tblGrid>
      <w:tr w:rsidR="00B95D65" w:rsidRPr="00356322" w14:paraId="4B282D9D" w14:textId="77777777" w:rsidTr="00D231A8">
        <w:tc>
          <w:tcPr>
            <w:tcW w:w="8856" w:type="dxa"/>
            <w:tcBorders>
              <w:bottom w:val="single" w:sz="6" w:space="0" w:color="008000"/>
            </w:tcBorders>
            <w:shd w:val="clear" w:color="auto" w:fill="auto"/>
          </w:tcPr>
          <w:p w14:paraId="3D42EA6D" w14:textId="77777777" w:rsidR="00B95D65" w:rsidRPr="00356322" w:rsidRDefault="00B95D65" w:rsidP="00D23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b/>
                <w:sz w:val="22"/>
                <w:szCs w:val="22"/>
              </w:rPr>
              <w:t>Inclusion Criteria</w:t>
            </w:r>
          </w:p>
        </w:tc>
      </w:tr>
      <w:tr w:rsidR="00B95D65" w:rsidRPr="00356322" w14:paraId="1F6BF564" w14:textId="77777777" w:rsidTr="00D231A8">
        <w:tc>
          <w:tcPr>
            <w:tcW w:w="8856" w:type="dxa"/>
            <w:shd w:val="clear" w:color="auto" w:fill="auto"/>
          </w:tcPr>
          <w:p w14:paraId="5F6ACDF4" w14:textId="77777777" w:rsidR="00B95D65" w:rsidRPr="00356322" w:rsidRDefault="00B95D65" w:rsidP="00D23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sz w:val="22"/>
                <w:szCs w:val="22"/>
              </w:rPr>
              <w:t>(1) Age 18 years or older</w:t>
            </w:r>
          </w:p>
        </w:tc>
      </w:tr>
      <w:tr w:rsidR="00B95D65" w:rsidRPr="00356322" w14:paraId="3BFDD351" w14:textId="77777777" w:rsidTr="00D231A8">
        <w:tc>
          <w:tcPr>
            <w:tcW w:w="8856" w:type="dxa"/>
            <w:shd w:val="clear" w:color="auto" w:fill="auto"/>
          </w:tcPr>
          <w:p w14:paraId="0BB1B873" w14:textId="77777777" w:rsidR="00B95D65" w:rsidRPr="00356322" w:rsidRDefault="00B95D65" w:rsidP="00D23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sz w:val="22"/>
                <w:szCs w:val="22"/>
              </w:rPr>
              <w:t>(2) All racial/ethnic groups</w:t>
            </w:r>
          </w:p>
        </w:tc>
      </w:tr>
      <w:tr w:rsidR="00B95D65" w:rsidRPr="00356322" w14:paraId="14F8944F" w14:textId="77777777" w:rsidTr="00D231A8">
        <w:tc>
          <w:tcPr>
            <w:tcW w:w="8856" w:type="dxa"/>
            <w:shd w:val="clear" w:color="auto" w:fill="auto"/>
          </w:tcPr>
          <w:p w14:paraId="13A0A577" w14:textId="77777777" w:rsidR="00B95D65" w:rsidRPr="00356322" w:rsidRDefault="00B95D65" w:rsidP="00D23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sz w:val="22"/>
                <w:szCs w:val="22"/>
              </w:rPr>
              <w:t>(3)</w:t>
            </w:r>
            <w:r w:rsidRPr="0035632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56322">
              <w:rPr>
                <w:rFonts w:ascii="Arial" w:hAnsi="Arial" w:cs="Arial"/>
                <w:sz w:val="22"/>
                <w:szCs w:val="22"/>
              </w:rPr>
              <w:t>Females with lupus nephritis</w:t>
            </w:r>
          </w:p>
        </w:tc>
      </w:tr>
      <w:tr w:rsidR="00B95D65" w:rsidRPr="00356322" w14:paraId="0176942D" w14:textId="77777777" w:rsidTr="00D231A8">
        <w:tc>
          <w:tcPr>
            <w:tcW w:w="8856" w:type="dxa"/>
            <w:shd w:val="clear" w:color="auto" w:fill="auto"/>
          </w:tcPr>
          <w:p w14:paraId="1F5E5884" w14:textId="77777777" w:rsidR="00B95D65" w:rsidRPr="00356322" w:rsidRDefault="00B95D65" w:rsidP="00D23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sz w:val="22"/>
                <w:szCs w:val="22"/>
              </w:rPr>
              <w:t xml:space="preserve">(4) Currently having a flare of lupus nephritis according to expert rheumatologist and considering change or initiation of an immunosuppressive medication for lupus nephritis (current flare) or had had flare of lupus nephritis and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356322">
              <w:rPr>
                <w:rFonts w:ascii="Arial" w:hAnsi="Arial" w:cs="Arial"/>
                <w:sz w:val="22"/>
                <w:szCs w:val="22"/>
              </w:rPr>
              <w:t xml:space="preserve">experience or discussion of immunosuppressive medication for lupus nephritis in the past </w:t>
            </w: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Pr="00356322">
              <w:rPr>
                <w:rFonts w:ascii="Arial" w:hAnsi="Arial" w:cs="Arial"/>
                <w:sz w:val="22"/>
                <w:szCs w:val="22"/>
              </w:rPr>
              <w:t xml:space="preserve"> at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356322">
              <w:rPr>
                <w:rFonts w:ascii="Arial" w:hAnsi="Arial" w:cs="Arial"/>
                <w:sz w:val="22"/>
                <w:szCs w:val="22"/>
              </w:rPr>
              <w:t>risk of a future lupus nephritis flare (future flare).</w:t>
            </w:r>
          </w:p>
        </w:tc>
      </w:tr>
      <w:tr w:rsidR="00B95D65" w:rsidRPr="00356322" w14:paraId="72522676" w14:textId="77777777" w:rsidTr="00D231A8">
        <w:tc>
          <w:tcPr>
            <w:tcW w:w="8856" w:type="dxa"/>
            <w:tcBorders>
              <w:bottom w:val="single" w:sz="4" w:space="0" w:color="auto"/>
            </w:tcBorders>
            <w:shd w:val="clear" w:color="auto" w:fill="auto"/>
          </w:tcPr>
          <w:p w14:paraId="3D1F3C1E" w14:textId="77777777" w:rsidR="00B95D65" w:rsidRPr="00356322" w:rsidRDefault="00B95D65" w:rsidP="00D231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5D65" w:rsidRPr="00356322" w14:paraId="41813E1E" w14:textId="77777777" w:rsidTr="00D231A8">
        <w:tc>
          <w:tcPr>
            <w:tcW w:w="8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A60D2" w14:textId="77777777" w:rsidR="00B95D65" w:rsidRPr="00356322" w:rsidRDefault="00B95D65" w:rsidP="00D23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b/>
                <w:sz w:val="22"/>
                <w:szCs w:val="22"/>
              </w:rPr>
              <w:t>Exclusion Criteria</w:t>
            </w:r>
          </w:p>
        </w:tc>
      </w:tr>
      <w:tr w:rsidR="00B95D65" w:rsidRPr="00356322" w14:paraId="1DE8744B" w14:textId="77777777" w:rsidTr="00D231A8">
        <w:tc>
          <w:tcPr>
            <w:tcW w:w="8856" w:type="dxa"/>
            <w:tcBorders>
              <w:top w:val="single" w:sz="4" w:space="0" w:color="auto"/>
            </w:tcBorders>
            <w:shd w:val="clear" w:color="auto" w:fill="auto"/>
          </w:tcPr>
          <w:p w14:paraId="1638D8F9" w14:textId="77777777" w:rsidR="00B95D65" w:rsidRPr="00356322" w:rsidRDefault="00B95D65" w:rsidP="00D23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sz w:val="22"/>
                <w:szCs w:val="22"/>
              </w:rPr>
              <w:t>(1) Male patients with lupus nephritis</w:t>
            </w:r>
          </w:p>
        </w:tc>
      </w:tr>
      <w:tr w:rsidR="00B95D65" w:rsidRPr="00356322" w14:paraId="27201DAE" w14:textId="77777777" w:rsidTr="00D231A8">
        <w:tc>
          <w:tcPr>
            <w:tcW w:w="8856" w:type="dxa"/>
            <w:shd w:val="clear" w:color="auto" w:fill="auto"/>
          </w:tcPr>
          <w:p w14:paraId="79C21EAF" w14:textId="77777777" w:rsidR="00B95D65" w:rsidRPr="00356322" w:rsidRDefault="00B95D65" w:rsidP="00D23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sz w:val="22"/>
                <w:szCs w:val="22"/>
              </w:rPr>
              <w:t>(2) Patients with lupus but no nephritis</w:t>
            </w:r>
          </w:p>
        </w:tc>
      </w:tr>
      <w:tr w:rsidR="00B95D65" w:rsidRPr="00356322" w14:paraId="4E4BB60D" w14:textId="77777777" w:rsidTr="00D231A8">
        <w:tc>
          <w:tcPr>
            <w:tcW w:w="8856" w:type="dxa"/>
            <w:shd w:val="clear" w:color="auto" w:fill="auto"/>
          </w:tcPr>
          <w:p w14:paraId="161F6AAA" w14:textId="77777777" w:rsidR="00B95D65" w:rsidRPr="00356322" w:rsidRDefault="00B95D65" w:rsidP="00D23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sz w:val="22"/>
                <w:szCs w:val="22"/>
              </w:rPr>
              <w:t>(3) Patients having kidney flare but medication change is not considered</w:t>
            </w:r>
          </w:p>
        </w:tc>
      </w:tr>
      <w:tr w:rsidR="00B95D65" w:rsidRPr="00356322" w14:paraId="4C6C1308" w14:textId="77777777" w:rsidTr="00D231A8">
        <w:tc>
          <w:tcPr>
            <w:tcW w:w="8856" w:type="dxa"/>
            <w:shd w:val="clear" w:color="auto" w:fill="auto"/>
          </w:tcPr>
          <w:p w14:paraId="4993F6B3" w14:textId="77777777" w:rsidR="00B95D65" w:rsidRPr="00356322" w:rsidRDefault="00B95D65" w:rsidP="00D23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sz w:val="22"/>
                <w:szCs w:val="22"/>
              </w:rPr>
              <w:t>(4) Patients with end stage renal disease on dialysis</w:t>
            </w:r>
          </w:p>
        </w:tc>
      </w:tr>
      <w:tr w:rsidR="00B95D65" w:rsidRPr="00356322" w14:paraId="004C1144" w14:textId="77777777" w:rsidTr="00D231A8">
        <w:tc>
          <w:tcPr>
            <w:tcW w:w="8856" w:type="dxa"/>
            <w:shd w:val="clear" w:color="auto" w:fill="auto"/>
          </w:tcPr>
          <w:p w14:paraId="69230A39" w14:textId="77777777" w:rsidR="00B95D65" w:rsidRPr="00356322" w:rsidRDefault="00B95D65" w:rsidP="00D231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56322">
              <w:rPr>
                <w:rFonts w:ascii="Arial" w:hAnsi="Arial" w:cs="Arial"/>
                <w:sz w:val="22"/>
                <w:szCs w:val="22"/>
              </w:rPr>
              <w:t>(5) Patients with a renal transplant or who are candidate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56322">
              <w:rPr>
                <w:rFonts w:ascii="Arial" w:hAnsi="Arial" w:cs="Arial"/>
                <w:sz w:val="22"/>
                <w:szCs w:val="22"/>
              </w:rPr>
              <w:t xml:space="preserve"> for a renal transplant</w:t>
            </w:r>
          </w:p>
        </w:tc>
      </w:tr>
    </w:tbl>
    <w:p w14:paraId="013F080B" w14:textId="77777777" w:rsidR="008E5886" w:rsidRDefault="008E5886"/>
    <w:sectPr w:rsidR="008E5886" w:rsidSect="0057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65"/>
    <w:rsid w:val="00041D63"/>
    <w:rsid w:val="000575AF"/>
    <w:rsid w:val="00060621"/>
    <w:rsid w:val="00064B52"/>
    <w:rsid w:val="0007056E"/>
    <w:rsid w:val="00071825"/>
    <w:rsid w:val="000A4A53"/>
    <w:rsid w:val="000B6239"/>
    <w:rsid w:val="000B75C0"/>
    <w:rsid w:val="000E4C8C"/>
    <w:rsid w:val="0011092F"/>
    <w:rsid w:val="001168B9"/>
    <w:rsid w:val="0014531F"/>
    <w:rsid w:val="0015073E"/>
    <w:rsid w:val="00152658"/>
    <w:rsid w:val="001537ED"/>
    <w:rsid w:val="001576A1"/>
    <w:rsid w:val="001637BF"/>
    <w:rsid w:val="0017205A"/>
    <w:rsid w:val="001730EF"/>
    <w:rsid w:val="0018364E"/>
    <w:rsid w:val="00184419"/>
    <w:rsid w:val="001A4B6B"/>
    <w:rsid w:val="001B1EF5"/>
    <w:rsid w:val="001D4AF5"/>
    <w:rsid w:val="00235911"/>
    <w:rsid w:val="00243192"/>
    <w:rsid w:val="00264BA6"/>
    <w:rsid w:val="0028625A"/>
    <w:rsid w:val="002D13EC"/>
    <w:rsid w:val="002D1575"/>
    <w:rsid w:val="002D7DDD"/>
    <w:rsid w:val="002E4BE0"/>
    <w:rsid w:val="002E7D7C"/>
    <w:rsid w:val="00312455"/>
    <w:rsid w:val="00346EC3"/>
    <w:rsid w:val="00373F29"/>
    <w:rsid w:val="003B4955"/>
    <w:rsid w:val="003C0D9A"/>
    <w:rsid w:val="003C41B6"/>
    <w:rsid w:val="003D71F7"/>
    <w:rsid w:val="003F2579"/>
    <w:rsid w:val="004460E6"/>
    <w:rsid w:val="004474E6"/>
    <w:rsid w:val="004562DF"/>
    <w:rsid w:val="0048138B"/>
    <w:rsid w:val="00490546"/>
    <w:rsid w:val="004A4AD2"/>
    <w:rsid w:val="004B7A96"/>
    <w:rsid w:val="004C3909"/>
    <w:rsid w:val="004E6F35"/>
    <w:rsid w:val="00504FA3"/>
    <w:rsid w:val="005065FB"/>
    <w:rsid w:val="005070F6"/>
    <w:rsid w:val="0050733E"/>
    <w:rsid w:val="00523DD3"/>
    <w:rsid w:val="00532239"/>
    <w:rsid w:val="00542023"/>
    <w:rsid w:val="005642A5"/>
    <w:rsid w:val="00564BF6"/>
    <w:rsid w:val="00574EF5"/>
    <w:rsid w:val="00587305"/>
    <w:rsid w:val="005A36DB"/>
    <w:rsid w:val="005C666D"/>
    <w:rsid w:val="005F587E"/>
    <w:rsid w:val="00601A0C"/>
    <w:rsid w:val="00605C63"/>
    <w:rsid w:val="00617CB8"/>
    <w:rsid w:val="0063523E"/>
    <w:rsid w:val="00656CFA"/>
    <w:rsid w:val="006751A3"/>
    <w:rsid w:val="006764C7"/>
    <w:rsid w:val="006852B4"/>
    <w:rsid w:val="00691DA6"/>
    <w:rsid w:val="006B47F5"/>
    <w:rsid w:val="006C3855"/>
    <w:rsid w:val="007132EA"/>
    <w:rsid w:val="0074590C"/>
    <w:rsid w:val="00752622"/>
    <w:rsid w:val="00764E87"/>
    <w:rsid w:val="007672EE"/>
    <w:rsid w:val="00782828"/>
    <w:rsid w:val="007B04A6"/>
    <w:rsid w:val="007C5201"/>
    <w:rsid w:val="007E5599"/>
    <w:rsid w:val="007F45E9"/>
    <w:rsid w:val="008038FA"/>
    <w:rsid w:val="00814AA8"/>
    <w:rsid w:val="00837EDE"/>
    <w:rsid w:val="008538C5"/>
    <w:rsid w:val="00854D5B"/>
    <w:rsid w:val="00865B9C"/>
    <w:rsid w:val="00894954"/>
    <w:rsid w:val="008E0BDA"/>
    <w:rsid w:val="008E5886"/>
    <w:rsid w:val="008F4607"/>
    <w:rsid w:val="00916F6B"/>
    <w:rsid w:val="00940F46"/>
    <w:rsid w:val="00951752"/>
    <w:rsid w:val="00955152"/>
    <w:rsid w:val="00965A94"/>
    <w:rsid w:val="00984773"/>
    <w:rsid w:val="009A14F0"/>
    <w:rsid w:val="009F1D2D"/>
    <w:rsid w:val="00A0017B"/>
    <w:rsid w:val="00A22782"/>
    <w:rsid w:val="00A764BD"/>
    <w:rsid w:val="00A8022D"/>
    <w:rsid w:val="00A817EC"/>
    <w:rsid w:val="00AA37CC"/>
    <w:rsid w:val="00AD4E4F"/>
    <w:rsid w:val="00AE1FDB"/>
    <w:rsid w:val="00AF5D90"/>
    <w:rsid w:val="00B00F12"/>
    <w:rsid w:val="00B017E8"/>
    <w:rsid w:val="00B1004B"/>
    <w:rsid w:val="00B20098"/>
    <w:rsid w:val="00B43E2F"/>
    <w:rsid w:val="00B4760C"/>
    <w:rsid w:val="00B50A9F"/>
    <w:rsid w:val="00B5100C"/>
    <w:rsid w:val="00B95D65"/>
    <w:rsid w:val="00BD7072"/>
    <w:rsid w:val="00BE1611"/>
    <w:rsid w:val="00C85BF2"/>
    <w:rsid w:val="00C939CE"/>
    <w:rsid w:val="00CB5F73"/>
    <w:rsid w:val="00CD5A18"/>
    <w:rsid w:val="00CF2D5F"/>
    <w:rsid w:val="00CF3256"/>
    <w:rsid w:val="00D014E2"/>
    <w:rsid w:val="00D274E2"/>
    <w:rsid w:val="00D30FA3"/>
    <w:rsid w:val="00D36F1D"/>
    <w:rsid w:val="00D4214F"/>
    <w:rsid w:val="00D53952"/>
    <w:rsid w:val="00D75A56"/>
    <w:rsid w:val="00D81A6C"/>
    <w:rsid w:val="00D93E99"/>
    <w:rsid w:val="00DA2856"/>
    <w:rsid w:val="00DA638F"/>
    <w:rsid w:val="00DA6B68"/>
    <w:rsid w:val="00DB5554"/>
    <w:rsid w:val="00DB6368"/>
    <w:rsid w:val="00DC2735"/>
    <w:rsid w:val="00DD465A"/>
    <w:rsid w:val="00DD5650"/>
    <w:rsid w:val="00DE03BF"/>
    <w:rsid w:val="00DE5D15"/>
    <w:rsid w:val="00DE6612"/>
    <w:rsid w:val="00E03315"/>
    <w:rsid w:val="00E26E39"/>
    <w:rsid w:val="00E40895"/>
    <w:rsid w:val="00E45D5B"/>
    <w:rsid w:val="00E520EC"/>
    <w:rsid w:val="00E55621"/>
    <w:rsid w:val="00E71D3E"/>
    <w:rsid w:val="00E7273F"/>
    <w:rsid w:val="00E73404"/>
    <w:rsid w:val="00EA06E6"/>
    <w:rsid w:val="00EA482B"/>
    <w:rsid w:val="00ED0AEF"/>
    <w:rsid w:val="00EE2EE0"/>
    <w:rsid w:val="00F135AB"/>
    <w:rsid w:val="00F13F06"/>
    <w:rsid w:val="00F173BF"/>
    <w:rsid w:val="00F45A9C"/>
    <w:rsid w:val="00F61D75"/>
    <w:rsid w:val="00F7340E"/>
    <w:rsid w:val="00F94B61"/>
    <w:rsid w:val="00FA2B79"/>
    <w:rsid w:val="00FC0E37"/>
    <w:rsid w:val="00FD329F"/>
    <w:rsid w:val="00FE2D47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AB898"/>
  <w15:chartTrackingRefBased/>
  <w15:docId w15:val="{713A00B2-68B0-F942-B9A0-960D9A37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5D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University of Alabama at Birmingham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Jasvinder Singh</dc:creator>
  <cp:keywords/>
  <dc:description/>
  <cp:lastModifiedBy>Jasvinder Singh</cp:lastModifiedBy>
  <cp:revision>1</cp:revision>
  <dcterms:created xsi:type="dcterms:W3CDTF">2019-03-22T05:17:00Z</dcterms:created>
  <dcterms:modified xsi:type="dcterms:W3CDTF">2019-03-22T05:17:00Z</dcterms:modified>
</cp:coreProperties>
</file>