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C8053" w14:textId="27318676" w:rsidR="005D5212" w:rsidRDefault="00881810" w:rsidP="0034740A">
      <w:r>
        <w:t xml:space="preserve">S2 </w:t>
      </w:r>
      <w:r w:rsidR="005D5212">
        <w:t>Table: Plasma pharmacokinetic results compared to literature values</w:t>
      </w:r>
    </w:p>
    <w:tbl>
      <w:tblPr>
        <w:tblW w:w="9781" w:type="dxa"/>
        <w:tblLook w:val="04A0" w:firstRow="1" w:lastRow="0" w:firstColumn="1" w:lastColumn="0" w:noHBand="0" w:noVBand="1"/>
      </w:tblPr>
      <w:tblGrid>
        <w:gridCol w:w="1300"/>
        <w:gridCol w:w="1535"/>
        <w:gridCol w:w="1885"/>
        <w:gridCol w:w="5061"/>
      </w:tblGrid>
      <w:tr w:rsidR="008F5DA4" w:rsidRPr="00FC06BD" w14:paraId="4D64CBC5" w14:textId="77777777" w:rsidTr="00A936F3">
        <w:trPr>
          <w:trHeight w:val="320"/>
        </w:trPr>
        <w:tc>
          <w:tcPr>
            <w:tcW w:w="1300" w:type="dxa"/>
            <w:tcBorders>
              <w:top w:val="nil"/>
              <w:left w:val="nil"/>
              <w:bottom w:val="single" w:sz="4" w:space="0" w:color="auto"/>
              <w:right w:val="nil"/>
            </w:tcBorders>
            <w:shd w:val="clear" w:color="auto" w:fill="auto"/>
            <w:noWrap/>
            <w:hideMark/>
          </w:tcPr>
          <w:p w14:paraId="58F5D6A6" w14:textId="77777777" w:rsidR="008F5DA4" w:rsidRPr="00896B01" w:rsidRDefault="008F5DA4" w:rsidP="008F5DA4">
            <w:pPr>
              <w:spacing w:line="240" w:lineRule="auto"/>
              <w:jc w:val="left"/>
            </w:pPr>
          </w:p>
        </w:tc>
        <w:tc>
          <w:tcPr>
            <w:tcW w:w="1535" w:type="dxa"/>
            <w:tcBorders>
              <w:top w:val="nil"/>
              <w:left w:val="nil"/>
              <w:bottom w:val="single" w:sz="4" w:space="0" w:color="auto"/>
              <w:right w:val="nil"/>
            </w:tcBorders>
            <w:vAlign w:val="bottom"/>
          </w:tcPr>
          <w:p w14:paraId="6A3889AD" w14:textId="77777777" w:rsidR="008F5DA4" w:rsidRPr="00896B01" w:rsidRDefault="008F5DA4" w:rsidP="008F5DA4">
            <w:pPr>
              <w:spacing w:line="240" w:lineRule="auto"/>
              <w:jc w:val="left"/>
              <w:rPr>
                <w:rFonts w:eastAsia="Times New Roman"/>
                <w:color w:val="000000"/>
              </w:rPr>
            </w:pPr>
            <w:r>
              <w:rPr>
                <w:rFonts w:eastAsia="Times New Roman"/>
                <w:color w:val="000000"/>
              </w:rPr>
              <w:t>Lesion model</w:t>
            </w:r>
          </w:p>
        </w:tc>
        <w:tc>
          <w:tcPr>
            <w:tcW w:w="1885" w:type="dxa"/>
            <w:tcBorders>
              <w:top w:val="nil"/>
              <w:left w:val="nil"/>
              <w:bottom w:val="single" w:sz="4" w:space="0" w:color="auto"/>
              <w:right w:val="nil"/>
            </w:tcBorders>
            <w:shd w:val="clear" w:color="auto" w:fill="auto"/>
            <w:noWrap/>
            <w:vAlign w:val="bottom"/>
            <w:hideMark/>
          </w:tcPr>
          <w:p w14:paraId="160696DB" w14:textId="77777777" w:rsidR="008F5DA4" w:rsidRPr="00896B01" w:rsidRDefault="008F5DA4" w:rsidP="008F5DA4">
            <w:pPr>
              <w:spacing w:line="240" w:lineRule="auto"/>
              <w:jc w:val="left"/>
              <w:rPr>
                <w:rFonts w:eastAsia="Times New Roman"/>
                <w:color w:val="000000"/>
              </w:rPr>
            </w:pPr>
            <w:r>
              <w:rPr>
                <w:rFonts w:eastAsia="Times New Roman"/>
                <w:color w:val="000000"/>
              </w:rPr>
              <w:t>Published values</w:t>
            </w:r>
          </w:p>
        </w:tc>
        <w:tc>
          <w:tcPr>
            <w:tcW w:w="5061" w:type="dxa"/>
            <w:tcBorders>
              <w:top w:val="nil"/>
              <w:left w:val="nil"/>
              <w:bottom w:val="single" w:sz="4" w:space="0" w:color="auto"/>
              <w:right w:val="nil"/>
            </w:tcBorders>
            <w:vAlign w:val="bottom"/>
          </w:tcPr>
          <w:p w14:paraId="15D5FD58" w14:textId="77777777" w:rsidR="008F5DA4" w:rsidRPr="00896B01" w:rsidRDefault="008F5DA4" w:rsidP="008F5DA4">
            <w:pPr>
              <w:spacing w:line="240" w:lineRule="auto"/>
              <w:jc w:val="left"/>
              <w:rPr>
                <w:rFonts w:eastAsia="Times New Roman"/>
                <w:color w:val="000000"/>
              </w:rPr>
            </w:pPr>
            <w:r>
              <w:rPr>
                <w:rFonts w:eastAsia="Times New Roman"/>
                <w:color w:val="000000"/>
              </w:rPr>
              <w:t>Comments</w:t>
            </w:r>
          </w:p>
        </w:tc>
      </w:tr>
      <w:tr w:rsidR="008F5DA4" w:rsidRPr="00831D05" w14:paraId="49444661" w14:textId="77777777" w:rsidTr="00523DBE">
        <w:trPr>
          <w:trHeight w:val="320"/>
        </w:trPr>
        <w:tc>
          <w:tcPr>
            <w:tcW w:w="1300" w:type="dxa"/>
            <w:tcBorders>
              <w:top w:val="single" w:sz="4" w:space="0" w:color="auto"/>
              <w:left w:val="nil"/>
              <w:bottom w:val="nil"/>
              <w:right w:val="nil"/>
            </w:tcBorders>
            <w:shd w:val="clear" w:color="auto" w:fill="auto"/>
            <w:noWrap/>
            <w:hideMark/>
          </w:tcPr>
          <w:p w14:paraId="2EEA2440" w14:textId="77777777" w:rsidR="008F5DA4" w:rsidRPr="00896B01" w:rsidRDefault="008F5DA4" w:rsidP="008F5DA4">
            <w:pPr>
              <w:spacing w:line="240" w:lineRule="auto"/>
              <w:jc w:val="left"/>
              <w:rPr>
                <w:rFonts w:eastAsia="Times New Roman"/>
                <w:color w:val="000000"/>
              </w:rPr>
            </w:pPr>
            <w:r w:rsidRPr="00896B01">
              <w:rPr>
                <w:rFonts w:eastAsia="Times New Roman"/>
                <w:color w:val="000000"/>
              </w:rPr>
              <w:t>RIF</w:t>
            </w:r>
          </w:p>
        </w:tc>
        <w:tc>
          <w:tcPr>
            <w:tcW w:w="1535" w:type="dxa"/>
            <w:tcBorders>
              <w:top w:val="single" w:sz="4" w:space="0" w:color="auto"/>
              <w:left w:val="nil"/>
              <w:bottom w:val="nil"/>
              <w:right w:val="nil"/>
            </w:tcBorders>
          </w:tcPr>
          <w:p w14:paraId="677D835D" w14:textId="77777777" w:rsidR="008F5DA4" w:rsidRPr="00896B01" w:rsidRDefault="008F5DA4" w:rsidP="008F5DA4">
            <w:pPr>
              <w:spacing w:line="240" w:lineRule="auto"/>
              <w:jc w:val="right"/>
              <w:rPr>
                <w:rFonts w:eastAsia="Times New Roman"/>
                <w:color w:val="000000"/>
              </w:rPr>
            </w:pPr>
            <w:r w:rsidRPr="00896B01">
              <w:rPr>
                <w:rFonts w:eastAsia="Times New Roman"/>
                <w:color w:val="000000"/>
              </w:rPr>
              <w:t>5.72</w:t>
            </w:r>
          </w:p>
        </w:tc>
        <w:tc>
          <w:tcPr>
            <w:tcW w:w="1885" w:type="dxa"/>
            <w:tcBorders>
              <w:top w:val="single" w:sz="4" w:space="0" w:color="auto"/>
              <w:left w:val="nil"/>
              <w:bottom w:val="nil"/>
              <w:right w:val="nil"/>
            </w:tcBorders>
            <w:shd w:val="clear" w:color="000000" w:fill="auto"/>
            <w:noWrap/>
            <w:hideMark/>
          </w:tcPr>
          <w:p w14:paraId="25BF0C74" w14:textId="0ACF8DFB" w:rsidR="00B42C1C" w:rsidRPr="00896B01" w:rsidRDefault="00B17ECB" w:rsidP="00A936F3">
            <w:pPr>
              <w:spacing w:line="240" w:lineRule="auto"/>
              <w:jc w:val="right"/>
              <w:rPr>
                <w:rFonts w:eastAsia="Times New Roman"/>
                <w:color w:val="000000"/>
              </w:rPr>
            </w:pPr>
            <w:r>
              <w:rPr>
                <w:rFonts w:eastAsia="Times New Roman"/>
                <w:color w:val="000000"/>
              </w:rPr>
              <w:t xml:space="preserve">10.0 </w:t>
            </w:r>
            <w:r>
              <w:rPr>
                <w:rFonts w:eastAsia="Times New Roman"/>
                <w:color w:val="000000"/>
              </w:rPr>
              <w:fldChar w:fldCharType="begin" w:fldLock="1"/>
            </w:r>
            <w:r>
              <w:rPr>
                <w:rFonts w:eastAsia="Times New Roman"/>
                <w:color w:val="000000"/>
              </w:rPr>
              <w:instrText>ADDIN CSL_CITATION {"citationItems":[{"id":"ITEM-1","itemData":{"DOI":"10.1002/psp4.12079","ISSN":"21638306","author":[{"dropping-particle":"","family":"Svensson","given":"RJ","non-dropping-particle":"","parse-names":false,"suffix":""},{"dropping-particle":"","family":"Simonsson","given":"USH","non-dropping-particle":"","parse-names":false,"suffix":""}],"container-title":"CPT: Pharmacometrics &amp; Systems Pharmacology","id":"ITEM-1","issue":"5","issued":{"date-parts":[["2016","5","1"]]},"page":"264-273","publisher":"John Wiley &amp; Sons, Ltd","title":"Application of the Multistate Tuberculosis Pharmacometric Model in Patients With Rifampicin-Treated Pulmonary Tuberculosis","type":"article-journal","volume":"5"},"uris":["http://www.mendeley.com/documents/?uuid=6f4d9704-0178-3753-80d6-119a5257e945"]}],"mendeley":{"formattedCitation":"[1]","plainTextFormattedCitation":"[1]","previouslyFormattedCitation":"[1]"},"properties":{"noteIndex":0},"schema":"https://github.com/citation-style-language/schema/raw/master/csl-citation.json"}</w:instrText>
            </w:r>
            <w:r>
              <w:rPr>
                <w:rFonts w:eastAsia="Times New Roman"/>
                <w:color w:val="000000"/>
              </w:rPr>
              <w:fldChar w:fldCharType="separate"/>
            </w:r>
            <w:r w:rsidRPr="00B17ECB">
              <w:rPr>
                <w:rFonts w:eastAsia="Times New Roman"/>
                <w:noProof/>
                <w:color w:val="000000"/>
              </w:rPr>
              <w:t>[1]</w:t>
            </w:r>
            <w:r>
              <w:rPr>
                <w:rFonts w:eastAsia="Times New Roman"/>
                <w:color w:val="000000"/>
              </w:rPr>
              <w:fldChar w:fldCharType="end"/>
            </w:r>
          </w:p>
        </w:tc>
        <w:tc>
          <w:tcPr>
            <w:tcW w:w="5061" w:type="dxa"/>
            <w:tcBorders>
              <w:top w:val="single" w:sz="4" w:space="0" w:color="auto"/>
              <w:left w:val="nil"/>
              <w:bottom w:val="nil"/>
              <w:right w:val="nil"/>
            </w:tcBorders>
          </w:tcPr>
          <w:p w14:paraId="657EB720" w14:textId="410C88F5" w:rsidR="008F5DA4" w:rsidRPr="00831D05" w:rsidRDefault="008F5DA4" w:rsidP="00A936F3">
            <w:pPr>
              <w:spacing w:line="240" w:lineRule="auto"/>
              <w:jc w:val="left"/>
              <w:rPr>
                <w:rFonts w:eastAsia="Times New Roman"/>
                <w:color w:val="000000"/>
              </w:rPr>
            </w:pPr>
          </w:p>
        </w:tc>
      </w:tr>
      <w:tr w:rsidR="00A936F3" w:rsidRPr="00831D05" w14:paraId="791F0AFE" w14:textId="77777777" w:rsidTr="00A936F3">
        <w:trPr>
          <w:trHeight w:val="320"/>
        </w:trPr>
        <w:tc>
          <w:tcPr>
            <w:tcW w:w="1300" w:type="dxa"/>
            <w:tcBorders>
              <w:left w:val="nil"/>
              <w:bottom w:val="nil"/>
              <w:right w:val="nil"/>
            </w:tcBorders>
            <w:shd w:val="clear" w:color="auto" w:fill="auto"/>
            <w:noWrap/>
          </w:tcPr>
          <w:p w14:paraId="78FBFFA1" w14:textId="77777777" w:rsidR="00A936F3" w:rsidRPr="00896B01" w:rsidRDefault="00A936F3" w:rsidP="008F5DA4">
            <w:pPr>
              <w:spacing w:line="240" w:lineRule="auto"/>
              <w:jc w:val="left"/>
              <w:rPr>
                <w:rFonts w:eastAsia="Times New Roman"/>
                <w:color w:val="000000"/>
              </w:rPr>
            </w:pPr>
          </w:p>
        </w:tc>
        <w:tc>
          <w:tcPr>
            <w:tcW w:w="1535" w:type="dxa"/>
            <w:tcBorders>
              <w:left w:val="nil"/>
              <w:bottom w:val="nil"/>
              <w:right w:val="nil"/>
            </w:tcBorders>
          </w:tcPr>
          <w:p w14:paraId="768AC590" w14:textId="77777777" w:rsidR="00A936F3" w:rsidRPr="00896B01" w:rsidRDefault="00A936F3" w:rsidP="008F5DA4">
            <w:pPr>
              <w:spacing w:line="240" w:lineRule="auto"/>
              <w:jc w:val="right"/>
              <w:rPr>
                <w:rFonts w:eastAsia="Times New Roman"/>
                <w:color w:val="000000"/>
              </w:rPr>
            </w:pPr>
          </w:p>
        </w:tc>
        <w:tc>
          <w:tcPr>
            <w:tcW w:w="1885" w:type="dxa"/>
            <w:tcBorders>
              <w:left w:val="nil"/>
              <w:bottom w:val="nil"/>
              <w:right w:val="nil"/>
            </w:tcBorders>
            <w:shd w:val="clear" w:color="000000" w:fill="auto"/>
            <w:noWrap/>
          </w:tcPr>
          <w:p w14:paraId="44CA0BBD" w14:textId="650F6109" w:rsidR="00A936F3" w:rsidRDefault="00A936F3" w:rsidP="00A936F3">
            <w:pPr>
              <w:spacing w:line="240" w:lineRule="auto"/>
              <w:jc w:val="right"/>
              <w:rPr>
                <w:rFonts w:eastAsia="Times New Roman"/>
                <w:color w:val="000000"/>
              </w:rPr>
            </w:pPr>
            <w:r w:rsidRPr="00831D05">
              <w:rPr>
                <w:rFonts w:eastAsia="Times New Roman"/>
                <w:color w:val="000000"/>
              </w:rPr>
              <w:t xml:space="preserve">7.76 </w:t>
            </w:r>
            <w:r w:rsidRPr="00831D05">
              <w:rPr>
                <w:rFonts w:eastAsia="Times New Roman"/>
                <w:color w:val="000000"/>
              </w:rPr>
              <w:fldChar w:fldCharType="begin" w:fldLock="1"/>
            </w:r>
            <w:r>
              <w:rPr>
                <w:rFonts w:eastAsia="Times New Roman"/>
                <w:color w:val="000000"/>
              </w:rPr>
              <w:instrText>ADDIN CSL_CITATION {"citationItems":[{"id":"ITEM-1","itemData":{"DOI":"10.1128/AAC.05792-11","ISSN":"1098-6596","PMID":"22252827","abstract":"The currently recommended doses of rifampin are believed to be at the lower end of the dose-response curve. Rifampin induces its own metabolism, although the effect of dose on the extent of autoinduction is not known. This study aimed to investigate rifampin autoinduction using a semimechanistic pharmacokinetic-enzyme turnover model. Four different structural basic models were explored to assess whether different scaling methods affected the final covariate selection procedure. Covariates were selected by using a linearized approach. The final model included the allometric scaling of oral clearance and apparent volume of distribution. Although HIV infection was associated with a 30% increase in the apparent volume of distribution, simulations demonstrated that the effect of HIV on rifampin exposure was slight. Model-based simulations showed close-to-maximum induction achieved after 450-mg daily dosing, since negligible increases in oral clearance were observed following the 600-mg/day regimen. Thus, dosing above 600 mg/day is unlikely to result in higher magnitudes of autoinduction. In a typical 55-kg male without HIV infection, the oral clearance, which was 7.76 liters · h</w:instrText>
            </w:r>
            <w:r>
              <w:rPr>
                <w:rFonts w:ascii="Calibri" w:eastAsia="Calibri" w:hAnsi="Calibri" w:cs="Calibri"/>
                <w:color w:val="000000"/>
              </w:rPr>
              <w:instrText>⁻</w:instrText>
            </w:r>
            <w:r>
              <w:rPr>
                <w:rFonts w:eastAsia="Times New Roman"/>
                <w:color w:val="000000"/>
              </w:rPr>
              <w:instrText>¹ at the first dose, increased 1.82- and 1.85-fold at steady state after daily dosing with 450 and 600 mg, respectively. Corresponding reductions of 41 and 42%, respectively, in the area under the concentration-versus-time curve from 0 to 24 h were estimated. The turnover of the inducible process was estimated to have a half-life of approximately 8 days in a typical patient. Assuming 5 half-lives to steady state, this corresponds to a duration of approximately 40 days to reach the induced state for rifampin autoinduction.","author":[{"dropping-particle":"","family":"Smythe","given":"Wynand","non-dropping-particle":"","parse-names":false,"suffix":""},{"dropping-particle":"","family":"Khandelwal","given":"Akash","non-dropping-particle":"","parse-names":false,"suffix":""},{"dropping-particle":"","family":"Merle","given":"Corinne","non-dropping-particle":"","parse-names":false,"suffix":""},{"dropping-particle":"","family":"Rustomjee","given":"Roxana","non-dropping-particle":"","parse-names":false,"suffix":""},{"dropping-particle":"","family":"Gninafon","given":"Martin","non-dropping-particle":"","parse-names":false,"suffix":""},{"dropping-particle":"","family":"Bocar Lo","given":"Mame","non-dropping-particle":"","parse-names":false,"suffix":""},{"dropping-particle":"","family":"Sow","given":"Oumou Bah","non-dropping-particle":"","parse-names":false,"suffix":""},{"dropping-particle":"","family":"Olliaro","given":"Piero L","non-dropping-particle":"","parse-names":false,"suffix":""},{"dropping-particle":"","family":"Lienhardt","given":"Christian","non-dropping-particle":"","parse-names":false,"suffix":""},{"dropping-particle":"","family":"Horton","given":"John","non-dropping-particle":"","parse-names":false,"suffix":""},{"dropping-particle":"","family":"Smith","given":"Peter","non-dropping-particle":"","parse-names":false,"suffix":""},{"dropping-particle":"","family":"McIlleron","given":"Helen","non-dropping-particle":"","parse-names":false,"suffix":""},{"dropping-particle":"","family":"Simonsson","given":"Ulrika S H","non-dropping-particle":"","parse-names":false,"suffix":""}],"container-title":"Antimicrobial agents and chemotherapy","id":"ITEM-1","issue":"4","issued":{"date-parts":[["2012","4"]]},"page":"2091-8","publisher":"American Society for Microbiology (ASM)","title":"A semimechanistic pharmacokinetic-enzyme turnover model for rifampin autoinduction in adult tuberculosis patients.","type":"article-journal","volume":"56"},"uris":["http://www.mendeley.com/documents/?uuid=19722769-d3a2-3a84-a8df-2288ec2abbe2"]}],"mendeley":{"formattedCitation":"[2]","plainTextFormattedCitation":"[2]","previouslyFormattedCitation":"[2]"},"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[2]</w:t>
            </w:r>
            <w:r w:rsidRPr="00831D05">
              <w:rPr>
                <w:rFonts w:eastAsia="Times New Roman"/>
                <w:color w:val="000000"/>
              </w:rPr>
              <w:fldChar w:fldCharType="end"/>
            </w:r>
          </w:p>
        </w:tc>
        <w:tc>
          <w:tcPr>
            <w:tcW w:w="5061" w:type="dxa"/>
            <w:tcBorders>
              <w:left w:val="nil"/>
              <w:bottom w:val="nil"/>
              <w:right w:val="nil"/>
            </w:tcBorders>
          </w:tcPr>
          <w:p w14:paraId="16313731" w14:textId="0C738683" w:rsidR="00A936F3" w:rsidRDefault="00A936F3" w:rsidP="008F5DA4">
            <w:pPr>
              <w:spacing w:line="240" w:lineRule="auto"/>
              <w:jc w:val="left"/>
              <w:rPr>
                <w:rFonts w:eastAsia="Times New Roman"/>
                <w:color w:val="000000"/>
              </w:rPr>
            </w:pPr>
            <w:r>
              <w:rPr>
                <w:rFonts w:eastAsia="Times New Roman"/>
                <w:color w:val="000000"/>
              </w:rPr>
              <w:t>after</w:t>
            </w:r>
            <w:r w:rsidRPr="00831D05">
              <w:rPr>
                <w:rFonts w:eastAsia="Times New Roman"/>
                <w:color w:val="000000"/>
              </w:rPr>
              <w:t xml:space="preserve"> first dose</w:t>
            </w:r>
          </w:p>
        </w:tc>
      </w:tr>
      <w:tr w:rsidR="00A936F3" w:rsidRPr="00831D05" w14:paraId="59CF7B59" w14:textId="77777777" w:rsidTr="00A936F3">
        <w:trPr>
          <w:trHeight w:val="320"/>
        </w:trPr>
        <w:tc>
          <w:tcPr>
            <w:tcW w:w="1300" w:type="dxa"/>
            <w:tcBorders>
              <w:left w:val="nil"/>
              <w:bottom w:val="nil"/>
              <w:right w:val="nil"/>
            </w:tcBorders>
            <w:shd w:val="clear" w:color="auto" w:fill="auto"/>
            <w:noWrap/>
          </w:tcPr>
          <w:p w14:paraId="25728C38" w14:textId="77777777" w:rsidR="00A936F3" w:rsidRPr="00896B01" w:rsidRDefault="00A936F3" w:rsidP="008F5DA4">
            <w:pPr>
              <w:spacing w:line="240" w:lineRule="auto"/>
              <w:jc w:val="left"/>
              <w:rPr>
                <w:rFonts w:eastAsia="Times New Roman"/>
                <w:color w:val="000000"/>
              </w:rPr>
            </w:pPr>
          </w:p>
        </w:tc>
        <w:tc>
          <w:tcPr>
            <w:tcW w:w="1535" w:type="dxa"/>
            <w:tcBorders>
              <w:left w:val="nil"/>
              <w:bottom w:val="nil"/>
              <w:right w:val="nil"/>
            </w:tcBorders>
          </w:tcPr>
          <w:p w14:paraId="367A1025" w14:textId="77777777" w:rsidR="00A936F3" w:rsidRPr="00896B01" w:rsidRDefault="00A936F3" w:rsidP="008F5DA4">
            <w:pPr>
              <w:spacing w:line="240" w:lineRule="auto"/>
              <w:jc w:val="right"/>
              <w:rPr>
                <w:rFonts w:eastAsia="Times New Roman"/>
                <w:color w:val="000000"/>
              </w:rPr>
            </w:pPr>
          </w:p>
        </w:tc>
        <w:tc>
          <w:tcPr>
            <w:tcW w:w="1885" w:type="dxa"/>
            <w:tcBorders>
              <w:left w:val="nil"/>
              <w:bottom w:val="nil"/>
              <w:right w:val="nil"/>
            </w:tcBorders>
            <w:shd w:val="clear" w:color="000000" w:fill="auto"/>
            <w:noWrap/>
          </w:tcPr>
          <w:p w14:paraId="03CA2014" w14:textId="2E78AF74" w:rsidR="00A936F3" w:rsidRDefault="00A936F3" w:rsidP="00A936F3">
            <w:pPr>
              <w:spacing w:line="240" w:lineRule="auto"/>
              <w:jc w:val="right"/>
              <w:rPr>
                <w:rFonts w:eastAsia="Times New Roman"/>
                <w:color w:val="000000"/>
              </w:rPr>
            </w:pPr>
            <w:r w:rsidRPr="00831D05">
              <w:rPr>
                <w:rFonts w:eastAsia="Times New Roman"/>
                <w:color w:val="000000"/>
              </w:rPr>
              <w:t xml:space="preserve">8.67 </w:t>
            </w:r>
            <w:r w:rsidRPr="00831D05">
              <w:rPr>
                <w:rFonts w:eastAsia="Times New Roman"/>
                <w:color w:val="000000"/>
              </w:rPr>
              <w:fldChar w:fldCharType="begin" w:fldLock="1"/>
            </w:r>
            <w:r>
              <w:rPr>
                <w:rFonts w:eastAsia="Times New Roman"/>
                <w:color w:val="000000"/>
              </w:rPr>
              <w:instrText>ADDIN CSL_CITATION {"citationItems":[{"id":"ITEM-1","itemData":{"DOI":"10.1128/AAC.41.12.2670","ISSN":"0066-4804","PMID":"9420037","abstract":"Isoniazid (INH), rifampin (RIF), and pyrazinamide (PZA) are the most important drugs for the treatment of tuberculosis (TB). The pharmacokinetics of all three drugs in the plasma of 24 healthy males were studied as part of a randomized cross-over phase I study of two dosage forms. Subjects ingested single doses of INH at 250 mg, RIF at 600 mg, and PZA at 1,500 mg. Plasma was collected for 36 h and was assayed by high-performance liquid chromatography. The data were analyzed by noncompartmental, iterative two-stage maximum a posteriori probability Bayesian (IT2B) and nonparametric expectation maximization (NPEM) population modeling methods. Fast and slow acetylators of INH had median peak concentrations in plasma (C[max]) of 2.44 and 3.64 microg/ml, respectively, both of which occurred at 1.0 h postdose (time of maximum concentrations of drugs in plasma [T(max)]), with median elimination half-lives (t1/2) of 1.2 and 3.3 h, respectively (by the NPEM method). RIF produced a median C(max) of 11.80 microg/ml, a T(max) of 1.0 h, and a t1/2 of 3.4 h. PZA produced a median C(max) of 28.80 microg/ml, a T(max) of 1.0 h, and a t1/2 of 10.0 h. The pharmacokinetic behaviors of INH, RIF, and PZA were well described by the three methods used. These models can serve as benchmarks for comparison with models for other populations, such as patients with TB or TB with AIDS.","author":[{"dropping-particle":"","family":"Peloquin","given":"C A","non-dropping-particle":"","parse-names":false,"suffix":""},{"dropping-particle":"","family":"Jaresko","given":"G S","non-dropping-particle":"","parse-names":false,"suffix":""},{"dropping-particle":"","family":"Yong","given":"C L","non-dropping-particle":"","parse-names":false,"suffix":""},{"dropping-particle":"","family":"Keung","given":"A C","non-dropping-particle":"","parse-names":false,"suffix":""},{"dropping-particle":"","family":"Bulpitt","given":"A E","non-dropping-particle":"","parse-names":false,"suffix":""},{"dropping-particle":"","family":"Jelliffe","given":"R W","non-dropping-particle":"","parse-names":false,"suffix":""}],"container-title":"Antimicrobial agents and chemotherapy","id":"ITEM-1","issue":"12","issued":{"date-parts":[["1997","12","1"]]},"page":"2670-9","publisher":"American Society for Microbiology Journals","title":"Population pharmacokinetic modeling of isoniazid, rifampin, and pyrazinamide.","type":"article-journal","volume":"41"},"uris":["http://www.mendeley.com/documents/?uuid=2cc506a9-db8f-3f11-af5e-3d77e91a6433"]}],"mendeley":{"formattedCitation":"[3]","plainTextFormattedCitation":"[3]","previouslyFormattedCitation":"[3]"},"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[3]</w:t>
            </w:r>
            <w:r w:rsidRPr="00831D05">
              <w:rPr>
                <w:rFonts w:eastAsia="Times New Roman"/>
                <w:color w:val="000000"/>
              </w:rPr>
              <w:fldChar w:fldCharType="end"/>
            </w:r>
          </w:p>
        </w:tc>
        <w:tc>
          <w:tcPr>
            <w:tcW w:w="5061" w:type="dxa"/>
            <w:tcBorders>
              <w:left w:val="nil"/>
              <w:bottom w:val="nil"/>
              <w:right w:val="nil"/>
            </w:tcBorders>
          </w:tcPr>
          <w:p w14:paraId="7C3D616D" w14:textId="24A915FD" w:rsidR="00A936F3" w:rsidRDefault="00A936F3" w:rsidP="00A936F3">
            <w:pPr>
              <w:spacing w:line="240" w:lineRule="auto"/>
              <w:rPr>
                <w:rFonts w:eastAsia="Times New Roman"/>
                <w:color w:val="000000"/>
              </w:rPr>
            </w:pPr>
            <w:r w:rsidRPr="00831D05">
              <w:rPr>
                <w:rFonts w:eastAsia="Times New Roman"/>
                <w:color w:val="000000"/>
              </w:rPr>
              <w:t xml:space="preserve">non-parametric expectation maximization </w:t>
            </w:r>
          </w:p>
        </w:tc>
      </w:tr>
      <w:tr w:rsidR="00A936F3" w:rsidRPr="00831D05" w14:paraId="390F32B3" w14:textId="77777777" w:rsidTr="00A936F3">
        <w:trPr>
          <w:trHeight w:val="320"/>
        </w:trPr>
        <w:tc>
          <w:tcPr>
            <w:tcW w:w="1300" w:type="dxa"/>
            <w:tcBorders>
              <w:left w:val="nil"/>
              <w:bottom w:val="nil"/>
              <w:right w:val="nil"/>
            </w:tcBorders>
            <w:shd w:val="clear" w:color="auto" w:fill="auto"/>
            <w:noWrap/>
          </w:tcPr>
          <w:p w14:paraId="2E2E8591" w14:textId="77777777" w:rsidR="00A936F3" w:rsidRPr="00896B01" w:rsidRDefault="00A936F3" w:rsidP="008F5DA4">
            <w:pPr>
              <w:spacing w:line="240" w:lineRule="auto"/>
              <w:jc w:val="left"/>
              <w:rPr>
                <w:rFonts w:eastAsia="Times New Roman"/>
                <w:color w:val="000000"/>
              </w:rPr>
            </w:pPr>
          </w:p>
        </w:tc>
        <w:tc>
          <w:tcPr>
            <w:tcW w:w="1535" w:type="dxa"/>
            <w:tcBorders>
              <w:left w:val="nil"/>
              <w:bottom w:val="nil"/>
              <w:right w:val="nil"/>
            </w:tcBorders>
          </w:tcPr>
          <w:p w14:paraId="49C6DDF2" w14:textId="77777777" w:rsidR="00A936F3" w:rsidRPr="00896B01" w:rsidRDefault="00A936F3" w:rsidP="008F5DA4">
            <w:pPr>
              <w:spacing w:line="240" w:lineRule="auto"/>
              <w:jc w:val="right"/>
              <w:rPr>
                <w:rFonts w:eastAsia="Times New Roman"/>
                <w:color w:val="000000"/>
              </w:rPr>
            </w:pPr>
          </w:p>
        </w:tc>
        <w:tc>
          <w:tcPr>
            <w:tcW w:w="1885" w:type="dxa"/>
            <w:tcBorders>
              <w:left w:val="nil"/>
              <w:bottom w:val="nil"/>
              <w:right w:val="nil"/>
            </w:tcBorders>
            <w:shd w:val="clear" w:color="000000" w:fill="auto"/>
            <w:noWrap/>
          </w:tcPr>
          <w:p w14:paraId="6D3D77AF" w14:textId="3B963CC5" w:rsidR="00A936F3" w:rsidRDefault="00A936F3" w:rsidP="00A936F3">
            <w:pPr>
              <w:spacing w:line="240" w:lineRule="auto"/>
              <w:jc w:val="right"/>
              <w:rPr>
                <w:rFonts w:eastAsia="Times New Roman"/>
                <w:color w:val="000000"/>
              </w:rPr>
            </w:pPr>
            <w:r w:rsidRPr="00831D05">
              <w:rPr>
                <w:rFonts w:eastAsia="Times New Roman"/>
                <w:color w:val="000000"/>
              </w:rPr>
              <w:t xml:space="preserve">14.4 </w:t>
            </w:r>
            <w:r w:rsidRPr="00831D05">
              <w:rPr>
                <w:rFonts w:eastAsia="Times New Roman"/>
                <w:color w:val="000000"/>
              </w:rPr>
              <w:fldChar w:fldCharType="begin" w:fldLock="1"/>
            </w:r>
            <w:r>
              <w:rPr>
                <w:rFonts w:eastAsia="Times New Roman"/>
                <w:color w:val="000000"/>
              </w:rPr>
              <w:instrText>ADDIN CSL_CITATION {"citationItems":[{"id":"ITEM-1","itemData":{"DOI":"10.1128/AAC.02599-12","ISSN":"1098-6596","PMID":"23629715","abstract":"East Africa has a high tuberculosis (TB) incidence and mortality, yet there are very limited data on exposure to TB drugs in patients from this region. We therefore determined the pharmacokinetic characteristics of first-line TB drugs in Tanzanian patients using intensive pharmacokinetic sampling. In 20 adult TB patients, plasma concentrations were determined just before and at 1, 2, 3, 4, 6, 8, 10, and 24 h after observed drug intake with food to estimate the areas under the curve from 0 to 24 h (AUC0-24) and peak plasma concentrations (Cmax) of isoniazid, rifampin, pyrazinamide, and ethambutol. Acetylator status for isoniazid was assessed phenotypically using the isoniazid elimination half-life and the acetylisoniazid/isoniazid metabolic ratio at 3 h postdose. The geometric mean AUC0-24s were as follows: isoniazid, 11.0 h · mg/liter; rifampin, 39.9 h · mg/liter; pyrazinamide, 344 h · mg/liter; and ethambutol, 20.2 h · mg/liter. The Cmax was below the reference range for isoniazid in 10/19 patients and for rifampin in 7/20 patients. In none of the patients were the Cmaxs for pyrazinamide and ethambutol below the reference range. Elimination half-life and metabolic ratio of isoniazid gave discordant phenotyping results in only 2/19 patients. A substantial proportion of patients had an isoniazid and/or rifampin Cmax below the reference range. Intake of TB drugs with food may partly explain these low drug levels, but such a drug intake reflects common practice. The finding of low TB drug concentrations is concerning because low concentrations have been associated with worse treatment outcome in several other studies.","author":[{"dropping-particle":"","family":"Tostmann","given":"Alma","non-dropping-particle":"","parse-names":false,"suffix":""},{"dropping-particle":"","family":"Mtabho","given":"Charles M","non-dropping-particle":"","parse-names":false,"suffix":""},{"dropping-particle":"","family":"Semvua","given":"Hadija H","non-dropping-particle":"","parse-names":false,"suffix":""},{"dropping-particle":"","family":"Boogaard","given":"Jossy","non-dropping-particle":"van den","parse-names":false,"suffix":""},{"dropping-particle":"","family":"Kibiki","given":"Gibson S","non-dropping-particle":"","parse-names":false,"suffix":""},{"dropping-particle":"","family":"Boeree","given":"Martin J","non-dropping-particle":"","parse-names":false,"suffix":""},{"dropping-particle":"","family":"Aarnoutse","given":"Rob E","non-dropping-particle":"","parse-names":false,"suffix":""}],"container-title":"Antimicrobial agents and chemotherapy","id":"ITEM-1","issue":"7","issued":{"date-parts":[["2013","7","1"]]},"page":"3208-13","publisher":"American Society for Microbiology Journals","title":"Pharmacokinetics of first-line tuberculosis drugs in Tanzanian patients.","type":"article-journal","volume":"57"},"uris":["http://www.mendeley.com/documents/?uuid=1c0213d0-4201-3fb3-9e3a-f609cf9b1265"]}],"mendeley":{"formattedCitation":"[4]","plainTextFormattedCitation":"[4]","previouslyFormattedCitation":"[4]"},"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[4]</w:t>
            </w:r>
            <w:r w:rsidRPr="00831D05">
              <w:rPr>
                <w:rFonts w:eastAsia="Times New Roman"/>
                <w:color w:val="000000"/>
              </w:rPr>
              <w:fldChar w:fldCharType="end"/>
            </w:r>
          </w:p>
        </w:tc>
        <w:tc>
          <w:tcPr>
            <w:tcW w:w="5061" w:type="dxa"/>
            <w:tcBorders>
              <w:left w:val="nil"/>
              <w:bottom w:val="nil"/>
              <w:right w:val="nil"/>
            </w:tcBorders>
          </w:tcPr>
          <w:p w14:paraId="6A256E8E" w14:textId="40DF2742" w:rsidR="00A936F3" w:rsidRDefault="00A936F3" w:rsidP="008F5DA4">
            <w:pPr>
              <w:spacing w:line="240" w:lineRule="auto"/>
              <w:jc w:val="left"/>
              <w:rPr>
                <w:rFonts w:eastAsia="Times New Roman"/>
                <w:color w:val="000000"/>
              </w:rPr>
            </w:pPr>
            <w:r w:rsidRPr="00831D05">
              <w:rPr>
                <w:rFonts w:eastAsia="Times New Roman"/>
                <w:color w:val="000000"/>
              </w:rPr>
              <w:t>non-compartmental analysis at steady state</w:t>
            </w:r>
          </w:p>
        </w:tc>
      </w:tr>
      <w:tr w:rsidR="00A936F3" w:rsidRPr="00831D05" w14:paraId="01F3F2EE" w14:textId="77777777" w:rsidTr="00A936F3">
        <w:trPr>
          <w:trHeight w:val="320"/>
        </w:trPr>
        <w:tc>
          <w:tcPr>
            <w:tcW w:w="1300" w:type="dxa"/>
            <w:tcBorders>
              <w:left w:val="nil"/>
              <w:bottom w:val="nil"/>
              <w:right w:val="nil"/>
            </w:tcBorders>
            <w:shd w:val="clear" w:color="auto" w:fill="auto"/>
            <w:noWrap/>
          </w:tcPr>
          <w:p w14:paraId="23B20EAE" w14:textId="77777777" w:rsidR="00A936F3" w:rsidRPr="00896B01" w:rsidRDefault="00A936F3" w:rsidP="008F5DA4">
            <w:pPr>
              <w:spacing w:line="240" w:lineRule="auto"/>
              <w:jc w:val="left"/>
              <w:rPr>
                <w:rFonts w:eastAsia="Times New Roman"/>
                <w:color w:val="000000"/>
              </w:rPr>
            </w:pPr>
          </w:p>
        </w:tc>
        <w:tc>
          <w:tcPr>
            <w:tcW w:w="1535" w:type="dxa"/>
            <w:tcBorders>
              <w:left w:val="nil"/>
              <w:bottom w:val="nil"/>
              <w:right w:val="nil"/>
            </w:tcBorders>
          </w:tcPr>
          <w:p w14:paraId="00E9E72E" w14:textId="77777777" w:rsidR="00A936F3" w:rsidRPr="00896B01" w:rsidRDefault="00A936F3" w:rsidP="008F5DA4">
            <w:pPr>
              <w:spacing w:line="240" w:lineRule="auto"/>
              <w:jc w:val="right"/>
              <w:rPr>
                <w:rFonts w:eastAsia="Times New Roman"/>
                <w:color w:val="000000"/>
              </w:rPr>
            </w:pPr>
          </w:p>
        </w:tc>
        <w:tc>
          <w:tcPr>
            <w:tcW w:w="1885" w:type="dxa"/>
            <w:tcBorders>
              <w:left w:val="nil"/>
              <w:bottom w:val="nil"/>
              <w:right w:val="nil"/>
            </w:tcBorders>
            <w:shd w:val="clear" w:color="000000" w:fill="auto"/>
            <w:noWrap/>
          </w:tcPr>
          <w:p w14:paraId="28568B81" w14:textId="73200625" w:rsidR="00A936F3" w:rsidRDefault="00A936F3" w:rsidP="00A936F3">
            <w:pPr>
              <w:spacing w:line="240" w:lineRule="auto"/>
              <w:jc w:val="right"/>
              <w:rPr>
                <w:rFonts w:eastAsia="Times New Roman"/>
                <w:color w:val="000000"/>
              </w:rPr>
            </w:pPr>
            <w:r w:rsidRPr="00831D05">
              <w:rPr>
                <w:rFonts w:eastAsia="Times New Roman"/>
                <w:color w:val="000000"/>
              </w:rPr>
              <w:t xml:space="preserve">14.5 </w:t>
            </w:r>
            <w:r w:rsidRPr="00831D05">
              <w:rPr>
                <w:rFonts w:eastAsia="Times New Roman"/>
                <w:color w:val="000000"/>
              </w:rPr>
              <w:fldChar w:fldCharType="begin" w:fldLock="1"/>
            </w:r>
            <w:r>
              <w:rPr>
                <w:rFonts w:eastAsia="Times New Roman"/>
                <w:color w:val="000000"/>
              </w:rPr>
              <w:instrText>ADDIN CSL_CITATION {"citationItems":[{"id":"ITEM-1","itemData":{"DOI":"10.1016/j.ijantimicag.2014.04.019","ISSN":"09248579","PMID":"24985091","abstract":"Therapeutic drug monitoring (TDM) of tuberculosis (TB) drugs currently focuses on peak plasma concentrations, yet total exposure [area under the 24-h concentration-time curve (AUC</w:instrText>
            </w:r>
            <w:r>
              <w:rPr>
                <w:rFonts w:ascii="Calibri" w:eastAsia="Calibri" w:hAnsi="Calibri" w:cs="Calibri"/>
                <w:color w:val="000000"/>
              </w:rPr>
              <w:instrText>₀₋₂₄</w:instrText>
            </w:r>
            <w:r>
              <w:rPr>
                <w:rFonts w:eastAsia="Times New Roman"/>
                <w:color w:val="000000"/>
              </w:rPr>
              <w:instrText>)] is probably most relevant to the efficacy of these drugs. We therefore assessed population AUC</w:instrText>
            </w:r>
            <w:r>
              <w:rPr>
                <w:rFonts w:ascii="Calibri" w:eastAsia="Calibri" w:hAnsi="Calibri" w:cs="Calibri"/>
                <w:color w:val="000000"/>
              </w:rPr>
              <w:instrText>₀₋₂₄</w:instrText>
            </w:r>
            <w:r>
              <w:rPr>
                <w:rFonts w:eastAsia="Times New Roman"/>
                <w:color w:val="000000"/>
              </w:rPr>
              <w:instrText xml:space="preserve"> data for all four first-line TB drugs (rifampicin, isoniazid, pyrazinamide and ethambutol) as well as moxifloxacin and developed limited sampling strategies to estimate AUC</w:instrText>
            </w:r>
            <w:r>
              <w:rPr>
                <w:rFonts w:ascii="Calibri" w:eastAsia="Calibri" w:hAnsi="Calibri" w:cs="Calibri"/>
                <w:color w:val="000000"/>
              </w:rPr>
              <w:instrText>₀₋₂₄</w:instrText>
            </w:r>
            <w:r>
              <w:rPr>
                <w:rFonts w:eastAsia="Times New Roman"/>
                <w:color w:val="000000"/>
              </w:rPr>
              <w:instrText xml:space="preserve"> values conveniently. AUC</w:instrText>
            </w:r>
            <w:r>
              <w:rPr>
                <w:rFonts w:ascii="Calibri" w:eastAsia="Calibri" w:hAnsi="Calibri" w:cs="Calibri"/>
                <w:color w:val="000000"/>
              </w:rPr>
              <w:instrText>₀₋₂₄</w:instrText>
            </w:r>
            <w:r>
              <w:rPr>
                <w:rFonts w:eastAsia="Times New Roman"/>
                <w:color w:val="000000"/>
              </w:rPr>
              <w:instrText xml:space="preserve"> and other pharmacokinetic (PK) parameters were determined following intensive PK sampling in two Dutch TB referral centres. Best subset selection multiple linear regression was performed to derive limited sampling equations. Median percentage prediction error and median absolute percentage prediction error were calculated via jackknife analysis to evaluate bias and imprecision of the predictions. Geometric mean AUC</w:instrText>
            </w:r>
            <w:r>
              <w:rPr>
                <w:rFonts w:ascii="Calibri" w:eastAsia="Calibri" w:hAnsi="Calibri" w:cs="Calibri"/>
                <w:color w:val="000000"/>
              </w:rPr>
              <w:instrText>₀₋₂₄</w:instrText>
            </w:r>
            <w:r>
              <w:rPr>
                <w:rFonts w:eastAsia="Times New Roman"/>
                <w:color w:val="000000"/>
              </w:rPr>
              <w:instrText xml:space="preserve"> values for rifampicin, isoniazid, pyrazinamide, ethambutol and moxifloxacin were 41.1, 15.2, 380, 25.5 and 33.6 hmg/L, respectively. Limited sampling at various fixed sampling points enabled an accurate and precise prediction of AUC</w:instrText>
            </w:r>
            <w:r>
              <w:rPr>
                <w:rFonts w:ascii="Calibri" w:eastAsia="Calibri" w:hAnsi="Calibri" w:cs="Calibri"/>
                <w:color w:val="000000"/>
              </w:rPr>
              <w:instrText>₀₋₂₄</w:instrText>
            </w:r>
            <w:r>
              <w:rPr>
                <w:rFonts w:eastAsia="Times New Roman"/>
                <w:color w:val="000000"/>
              </w:rPr>
              <w:instrText xml:space="preserve"> values of all drugs separately and simultaneously. In the absence of clinically validated target values for AUC</w:instrText>
            </w:r>
            <w:r>
              <w:rPr>
                <w:rFonts w:ascii="Calibri" w:eastAsia="Calibri" w:hAnsi="Calibri" w:cs="Calibri"/>
                <w:color w:val="000000"/>
              </w:rPr>
              <w:instrText>₀₋₂₄</w:instrText>
            </w:r>
            <w:r>
              <w:rPr>
                <w:rFonts w:eastAsia="Times New Roman"/>
                <w:color w:val="000000"/>
              </w:rPr>
              <w:instrText>, average AUC</w:instrText>
            </w:r>
            <w:r>
              <w:rPr>
                <w:rFonts w:ascii="Calibri" w:eastAsia="Calibri" w:hAnsi="Calibri" w:cs="Calibri"/>
                <w:color w:val="000000"/>
              </w:rPr>
              <w:instrText>₀₋₂₄</w:instrText>
            </w:r>
            <w:r>
              <w:rPr>
                <w:rFonts w:eastAsia="Times New Roman"/>
                <w:color w:val="000000"/>
              </w:rPr>
              <w:instrText xml:space="preserve"> values can be used as reference values in TDM. Limited sampling of AUC</w:instrText>
            </w:r>
            <w:r>
              <w:rPr>
                <w:rFonts w:ascii="Calibri" w:eastAsia="Calibri" w:hAnsi="Calibri" w:cs="Calibri"/>
                <w:color w:val="000000"/>
              </w:rPr>
              <w:instrText>₀₋₂₄</w:instrText>
            </w:r>
            <w:r>
              <w:rPr>
                <w:rFonts w:eastAsia="Times New Roman"/>
                <w:color w:val="000000"/>
              </w:rPr>
              <w:instrText xml:space="preserve"> is feasible in many settings and allows for TDM to be performed at a larger scale.","author":[{"dropping-particle":"","family":"Magis-Escurra","given":"C.","non-dropping-particle":"","parse-names":false,"suffix":""},{"dropping-particle":"","family":"Later-Nijland","given":"H.M.J.","non-dropping-particle":"","parse-names":false,"suffix":""},{"dropping-particle":"","family":"Alffenaar","given":"J.W.C.","non-dropping-particle":"","parse-names":false,"suffix":""},{"dropping-particle":"","family":"Broeders","given":"J.","non-dropping-particle":"","parse-names":false,"suffix":""},{"dropping-particle":"","family":"Burger","given":"D.M.","non-dropping-particle":"","parse-names":false,"suffix":""},{"dropping-particle":"","family":"Crevel","given":"R.","non-dropping-particle":"van","parse-names":false,"suffix":""},{"dropping-particle":"","family":"Boeree","given":"M.J.","non-dropping-particle":"","parse-names":false,"suffix":""},{"dropping-particle":"","family":"Donders","given":"A.R.T.","non-dropping-particle":"","parse-names":false,"suffix":""},{"dropping-particle":"","family":"Altena","given":"R.","non-dropping-particle":"van","parse-names":false,"suffix":""},{"dropping-particle":"","family":"Werf","given":"T.S.","non-dropping-particle":"van der","parse-names":false,"suffix":""},{"dropping-particle":"","family":"Aarnoutse","given":"R.E.","non-dropping-particle":"","parse-names":false,"suffix":""}],"container-title":"International Journal of Antimicrobial Agents","id":"ITEM-1","issue":"3","issued":{"date-parts":[["2014","9"]]},"page":"229-234","title":"Population pharmacokinetics and limited sampling strategy for first-line tuberculosis drugs and moxifloxacin","type":"article-journal","volume":"44"},"uris":["http://www.mendeley.com/documents/?uuid=e5a8a7cc-6342-3a63-a3cd-455f60afe9ff"]}],"mendeley":{"formattedCitation":"[5]","plainTextFormattedCitation":"[5]","previouslyFormattedCitation":"[5]"},"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[5]</w:t>
            </w:r>
            <w:r w:rsidRPr="00831D05">
              <w:rPr>
                <w:rFonts w:eastAsia="Times New Roman"/>
                <w:color w:val="000000"/>
              </w:rPr>
              <w:fldChar w:fldCharType="end"/>
            </w:r>
          </w:p>
        </w:tc>
        <w:tc>
          <w:tcPr>
            <w:tcW w:w="5061" w:type="dxa"/>
            <w:tcBorders>
              <w:left w:val="nil"/>
              <w:bottom w:val="nil"/>
              <w:right w:val="nil"/>
            </w:tcBorders>
          </w:tcPr>
          <w:p w14:paraId="1B32ABC2" w14:textId="43B89156" w:rsidR="00A936F3" w:rsidRDefault="00A936F3" w:rsidP="008F5DA4">
            <w:pPr>
              <w:spacing w:line="240" w:lineRule="auto"/>
              <w:jc w:val="left"/>
              <w:rPr>
                <w:rFonts w:eastAsia="Times New Roman"/>
                <w:color w:val="000000"/>
              </w:rPr>
            </w:pPr>
            <w:r w:rsidRPr="00831D05">
              <w:rPr>
                <w:rFonts w:eastAsia="Times New Roman"/>
                <w:color w:val="000000"/>
              </w:rPr>
              <w:t>non-compartmental analysis at steady state</w:t>
            </w:r>
          </w:p>
        </w:tc>
      </w:tr>
      <w:tr w:rsidR="00A936F3" w:rsidRPr="00831D05" w14:paraId="47755F62" w14:textId="77777777" w:rsidTr="00A936F3">
        <w:trPr>
          <w:trHeight w:val="320"/>
        </w:trPr>
        <w:tc>
          <w:tcPr>
            <w:tcW w:w="1300" w:type="dxa"/>
            <w:tcBorders>
              <w:left w:val="nil"/>
              <w:bottom w:val="single" w:sz="4" w:space="0" w:color="auto"/>
              <w:right w:val="nil"/>
            </w:tcBorders>
            <w:shd w:val="clear" w:color="auto" w:fill="auto"/>
            <w:noWrap/>
          </w:tcPr>
          <w:p w14:paraId="26CF163F" w14:textId="77777777" w:rsidR="00A936F3" w:rsidRPr="00896B01" w:rsidRDefault="00A936F3" w:rsidP="008F5DA4">
            <w:pPr>
              <w:spacing w:line="240" w:lineRule="auto"/>
              <w:jc w:val="left"/>
              <w:rPr>
                <w:rFonts w:eastAsia="Times New Roman"/>
                <w:color w:val="000000"/>
              </w:rPr>
            </w:pPr>
          </w:p>
        </w:tc>
        <w:tc>
          <w:tcPr>
            <w:tcW w:w="1535" w:type="dxa"/>
            <w:tcBorders>
              <w:left w:val="nil"/>
              <w:bottom w:val="single" w:sz="4" w:space="0" w:color="auto"/>
              <w:right w:val="nil"/>
            </w:tcBorders>
          </w:tcPr>
          <w:p w14:paraId="7195285B" w14:textId="77777777" w:rsidR="00A936F3" w:rsidRPr="00896B01" w:rsidRDefault="00A936F3" w:rsidP="008F5DA4">
            <w:pPr>
              <w:spacing w:line="240" w:lineRule="auto"/>
              <w:jc w:val="right"/>
              <w:rPr>
                <w:rFonts w:eastAsia="Times New Roman"/>
                <w:color w:val="000000"/>
              </w:rPr>
            </w:pPr>
          </w:p>
        </w:tc>
        <w:tc>
          <w:tcPr>
            <w:tcW w:w="1885" w:type="dxa"/>
            <w:tcBorders>
              <w:left w:val="nil"/>
              <w:bottom w:val="single" w:sz="4" w:space="0" w:color="auto"/>
              <w:right w:val="nil"/>
            </w:tcBorders>
            <w:shd w:val="clear" w:color="000000" w:fill="auto"/>
            <w:noWrap/>
          </w:tcPr>
          <w:p w14:paraId="023A111D" w14:textId="4A8B7101" w:rsidR="00A936F3" w:rsidRDefault="00A936F3" w:rsidP="00A936F3">
            <w:pPr>
              <w:spacing w:line="240" w:lineRule="auto"/>
              <w:jc w:val="right"/>
              <w:rPr>
                <w:rFonts w:eastAsia="Times New Roman"/>
                <w:color w:val="000000"/>
              </w:rPr>
            </w:pPr>
            <w:r w:rsidRPr="00831D05">
              <w:rPr>
                <w:rFonts w:eastAsia="Times New Roman"/>
                <w:color w:val="000000"/>
              </w:rPr>
              <w:t xml:space="preserve">19.2 </w:t>
            </w:r>
            <w:r w:rsidRPr="00831D05">
              <w:rPr>
                <w:rFonts w:eastAsia="Times New Roman"/>
                <w:color w:val="000000"/>
              </w:rPr>
              <w:fldChar w:fldCharType="begin" w:fldLock="1"/>
            </w:r>
            <w:r>
              <w:rPr>
                <w:rFonts w:eastAsia="Times New Roman"/>
                <w:color w:val="000000"/>
              </w:rPr>
              <w:instrText>ADDIN CSL_CITATION {"citationItems":[{"id":"ITEM-1","itemData":{"DOI":"10.1128/AAC.00461-07","ISSN":"1098-6596","PMID":"18391026","abstract":"This article describes the population pharmacokinetics of rifampin in South African pulmonary tuberculosis patients. Three datasets containing 2,913 rifampin plasma concentration-time data points, collected from 261 South African pulmonary tuberculosis patients aged 18 to 72 years and weighing 28.5 to 85.5 kg and receiving regular daily treatment that included administration of rifampin (450 to 600 mg) for at least 10 days, were pooled. A compartmental pharmacokinetic model was developed using nonlinear mixed-effects modeling. Variability in the shape of the absorption curve was described using a flexible transit compartment model, in which a delay in the onset of absorption and a gradually changing absorption rate were modeled as the passage of drug through a chain of hypothetical compartments, ultimately reaching the absorption compartment. A previously described implementation was extended to allow its application to multiple-dosing data. The typical population estimate of oral clearance was 19.2 liters x h(-1), while the volume of distribution was estimated to be 53.2 liters. Interindividual variability was estimated to be 52.8% for clearance and 43.4% for volume of distribution. Interoccasional variability was estimated for CL/F (22.5%) and mean transit time during absorption (67.9%). The use of single-drug formulations was found to increase both the mean transit time (by 104%) and clearance (by 23.6%) relative to fixed-dose-combination use. A strong correlation between clearance and volume of distribution suggested substantial variability in bioavailability, which could have clinical implications, given the dependence of treatment effectiveness on exposure. The final model successfully described rifampin pharmacokinetics in the population studied and is suitable for simulation in this context.","author":[{"dropping-particle":"","family":"Wilkins","given":"Justin J","non-dropping-particle":"","parse-names":false,"suffix":""},{"dropping-particle":"","family":"Savic","given":"Radojka M","non-dropping-particle":"","parse-names":false,"suffix":""},{"dropping-particle":"","family":"Karlsson","given":"Mats O","non-dropping-particle":"","parse-names":false,"suffix":""},{"dropping-particle":"","family":"Langdon","given":"Grant","non-dropping-particle":"","parse-names":false,"suffix":""},{"dropping-particle":"","family":"McIlleron","given":"Helen","non-dropping-particle":"","parse-names":false,"suffix":""},{"dropping-particle":"","family":"Pillai","given":"Goonaseelan","non-dropping-particle":"","parse-names":false,"suffix":""},{"dropping-particle":"","family":"Smith","given":"Peter J","non-dropping-particle":"","parse-names":false,"suffix":""},{"dropping-particle":"","family":"Simonsson","given":"Ulrika S H","non-dropping-particle":"","parse-names":false,"suffix":""}],"container-title":"Antimicrobial agents and chemotherapy","id":"ITEM-1","issue":"6","issued":{"date-parts":[["2008","6"]]},"page":"2138-48","publisher":"American Society for Microbiology (ASM)","title":"Population pharmacokinetics of rifampin in pulmonary tuberculosis patients, including a semimechanistic model to describe variable absorption.","type":"article-journal","volume":"52"},"uris":["http://www.mendeley.com/documents/?uuid=b426f5fc-8914-3a24-a09e-b16f852c656a"]}],"mendeley":{"formattedCitation":"[6]","plainTextFormattedCitation":"[6]","previouslyFormattedCitation":"[6]"},"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[6]</w:t>
            </w:r>
            <w:r w:rsidRPr="00831D05">
              <w:rPr>
                <w:rFonts w:eastAsia="Times New Roman"/>
                <w:color w:val="000000"/>
              </w:rPr>
              <w:fldChar w:fldCharType="end"/>
            </w:r>
          </w:p>
        </w:tc>
        <w:tc>
          <w:tcPr>
            <w:tcW w:w="5061" w:type="dxa"/>
            <w:tcBorders>
              <w:left w:val="nil"/>
              <w:bottom w:val="single" w:sz="4" w:space="0" w:color="auto"/>
              <w:right w:val="nil"/>
            </w:tcBorders>
          </w:tcPr>
          <w:p w14:paraId="08AF484D" w14:textId="18EEE54A" w:rsidR="00A936F3" w:rsidRDefault="00A936F3" w:rsidP="008F5DA4">
            <w:pPr>
              <w:spacing w:line="240" w:lineRule="auto"/>
              <w:jc w:val="left"/>
              <w:rPr>
                <w:rFonts w:eastAsia="Times New Roman"/>
                <w:color w:val="000000"/>
              </w:rPr>
            </w:pPr>
            <w:r w:rsidRPr="00831D05">
              <w:rPr>
                <w:rFonts w:eastAsia="Times New Roman"/>
                <w:color w:val="000000"/>
              </w:rPr>
              <w:t>patients at steady state</w:t>
            </w:r>
          </w:p>
        </w:tc>
      </w:tr>
      <w:tr w:rsidR="008F5DA4" w:rsidRPr="00831D05" w14:paraId="139D1CC7" w14:textId="77777777" w:rsidTr="00523DBE">
        <w:trPr>
          <w:trHeight w:val="320"/>
        </w:trPr>
        <w:tc>
          <w:tcPr>
            <w:tcW w:w="1300" w:type="dxa"/>
            <w:tcBorders>
              <w:top w:val="nil"/>
              <w:left w:val="nil"/>
              <w:bottom w:val="nil"/>
              <w:right w:val="nil"/>
            </w:tcBorders>
            <w:shd w:val="clear" w:color="auto" w:fill="auto"/>
            <w:noWrap/>
            <w:hideMark/>
          </w:tcPr>
          <w:p w14:paraId="5B4CC576" w14:textId="77777777" w:rsidR="008F5DA4" w:rsidRPr="00896B01" w:rsidRDefault="008F5DA4" w:rsidP="008F5DA4">
            <w:pPr>
              <w:spacing w:line="240" w:lineRule="auto"/>
              <w:jc w:val="left"/>
              <w:rPr>
                <w:rFonts w:eastAsia="Times New Roman"/>
                <w:color w:val="000000"/>
              </w:rPr>
            </w:pPr>
            <w:r w:rsidRPr="00896B01">
              <w:rPr>
                <w:rFonts w:eastAsia="Times New Roman"/>
                <w:color w:val="000000"/>
              </w:rPr>
              <w:t>INH</w:t>
            </w:r>
          </w:p>
        </w:tc>
        <w:tc>
          <w:tcPr>
            <w:tcW w:w="1535" w:type="dxa"/>
            <w:tcBorders>
              <w:top w:val="nil"/>
              <w:left w:val="nil"/>
              <w:bottom w:val="nil"/>
              <w:right w:val="nil"/>
            </w:tcBorders>
          </w:tcPr>
          <w:p w14:paraId="1B47A5D6" w14:textId="2E8813EB" w:rsidR="008F5DA4" w:rsidRPr="00896B01" w:rsidRDefault="008F5DA4" w:rsidP="00A936F3">
            <w:pPr>
              <w:spacing w:line="240" w:lineRule="auto"/>
              <w:jc w:val="right"/>
              <w:rPr>
                <w:rFonts w:eastAsia="Times New Roman"/>
                <w:color w:val="000000"/>
              </w:rPr>
            </w:pPr>
            <w:r w:rsidRPr="00831D05">
              <w:rPr>
                <w:rFonts w:eastAsia="Times New Roman"/>
                <w:color w:val="000000"/>
              </w:rPr>
              <w:t>s: 9.41</w:t>
            </w:r>
          </w:p>
        </w:tc>
        <w:tc>
          <w:tcPr>
            <w:tcW w:w="1885" w:type="dxa"/>
            <w:tcBorders>
              <w:top w:val="nil"/>
              <w:left w:val="nil"/>
              <w:bottom w:val="nil"/>
              <w:right w:val="nil"/>
            </w:tcBorders>
            <w:shd w:val="clear" w:color="000000" w:fill="auto"/>
            <w:noWrap/>
            <w:hideMark/>
          </w:tcPr>
          <w:p w14:paraId="6D642416" w14:textId="48E40AFA" w:rsidR="00B42C1C" w:rsidRPr="00896B01" w:rsidRDefault="00B42C1C" w:rsidP="00A936F3">
            <w:pPr>
              <w:pBdr>
                <w:top w:val="nil"/>
                <w:left w:val="nil"/>
                <w:bottom w:val="nil"/>
                <w:right w:val="nil"/>
                <w:between w:val="nil"/>
              </w:pBdr>
              <w:spacing w:line="240" w:lineRule="auto"/>
              <w:jc w:val="right"/>
              <w:rPr>
                <w:rFonts w:eastAsiaTheme="minorHAnsi"/>
              </w:rPr>
            </w:pPr>
            <w:r w:rsidRPr="00831D05">
              <w:t>s: 9.7,</w:t>
            </w:r>
          </w:p>
        </w:tc>
        <w:tc>
          <w:tcPr>
            <w:tcW w:w="5061" w:type="dxa"/>
            <w:tcBorders>
              <w:top w:val="nil"/>
              <w:left w:val="nil"/>
              <w:bottom w:val="nil"/>
              <w:right w:val="nil"/>
            </w:tcBorders>
          </w:tcPr>
          <w:p w14:paraId="6565F60C" w14:textId="638BC019" w:rsidR="008F5DA4" w:rsidRPr="00831D05" w:rsidRDefault="008F5DA4" w:rsidP="008F5DA4">
            <w:pPr>
              <w:spacing w:line="240" w:lineRule="auto"/>
              <w:jc w:val="left"/>
              <w:rPr>
                <w:rFonts w:eastAsia="Times New Roman"/>
                <w:color w:val="000000"/>
              </w:rPr>
            </w:pPr>
          </w:p>
        </w:tc>
      </w:tr>
      <w:tr w:rsidR="00A936F3" w:rsidRPr="00831D05" w14:paraId="4F9E4219" w14:textId="77777777" w:rsidTr="00523DBE">
        <w:trPr>
          <w:trHeight w:val="320"/>
        </w:trPr>
        <w:tc>
          <w:tcPr>
            <w:tcW w:w="1300" w:type="dxa"/>
            <w:tcBorders>
              <w:top w:val="nil"/>
              <w:left w:val="nil"/>
              <w:bottom w:val="nil"/>
              <w:right w:val="nil"/>
            </w:tcBorders>
            <w:shd w:val="clear" w:color="auto" w:fill="auto"/>
            <w:noWrap/>
          </w:tcPr>
          <w:p w14:paraId="640F2457" w14:textId="77777777" w:rsidR="00A936F3" w:rsidRPr="00896B01" w:rsidRDefault="00A936F3" w:rsidP="008F5DA4">
            <w:pPr>
              <w:spacing w:line="240" w:lineRule="auto"/>
              <w:jc w:val="left"/>
              <w:rPr>
                <w:rFonts w:eastAsia="Times New Roman"/>
                <w:color w:val="000000"/>
              </w:rPr>
            </w:pPr>
          </w:p>
        </w:tc>
        <w:tc>
          <w:tcPr>
            <w:tcW w:w="1535" w:type="dxa"/>
            <w:tcBorders>
              <w:top w:val="nil"/>
              <w:left w:val="nil"/>
              <w:bottom w:val="nil"/>
              <w:right w:val="nil"/>
            </w:tcBorders>
          </w:tcPr>
          <w:p w14:paraId="33F209A7" w14:textId="1E3351D9" w:rsidR="00A936F3" w:rsidRPr="00831D05" w:rsidRDefault="00A936F3" w:rsidP="00A936F3">
            <w:pPr>
              <w:spacing w:line="240" w:lineRule="auto"/>
              <w:jc w:val="right"/>
              <w:rPr>
                <w:rFonts w:eastAsia="Times New Roman"/>
                <w:color w:val="000000"/>
              </w:rPr>
            </w:pPr>
            <w:proofErr w:type="spellStart"/>
            <w:r w:rsidRPr="00831D05">
              <w:rPr>
                <w:rFonts w:eastAsia="Times New Roman"/>
                <w:color w:val="000000"/>
              </w:rPr>
              <w:t>i</w:t>
            </w:r>
            <w:proofErr w:type="spellEnd"/>
            <w:r w:rsidRPr="00831D05">
              <w:rPr>
                <w:rFonts w:eastAsia="Times New Roman"/>
                <w:color w:val="000000"/>
              </w:rPr>
              <w:t>: 24.0</w:t>
            </w:r>
          </w:p>
        </w:tc>
        <w:tc>
          <w:tcPr>
            <w:tcW w:w="1885" w:type="dxa"/>
            <w:tcBorders>
              <w:top w:val="nil"/>
              <w:left w:val="nil"/>
              <w:bottom w:val="nil"/>
              <w:right w:val="nil"/>
            </w:tcBorders>
            <w:shd w:val="clear" w:color="000000" w:fill="auto"/>
            <w:noWrap/>
          </w:tcPr>
          <w:p w14:paraId="676922A8" w14:textId="73830AA5" w:rsidR="00A936F3" w:rsidRPr="00831D05" w:rsidRDefault="00A936F3" w:rsidP="00A936F3">
            <w:pPr>
              <w:pBdr>
                <w:top w:val="nil"/>
                <w:left w:val="nil"/>
                <w:bottom w:val="nil"/>
                <w:right w:val="nil"/>
                <w:between w:val="nil"/>
              </w:pBdr>
              <w:spacing w:line="240" w:lineRule="auto"/>
              <w:jc w:val="right"/>
            </w:pPr>
            <w:r w:rsidRPr="00831D05">
              <w:t xml:space="preserve">f: 21.6 </w:t>
            </w:r>
            <w:r w:rsidRPr="00831D05">
              <w:fldChar w:fldCharType="begin" w:fldLock="1"/>
            </w:r>
            <w:r>
              <w:instrText>ADDIN CSL_CITATION {"citationItems":[{"id":"ITEM-1","itemData":{"DOI":"10.1111/j.1365-2125.2011.03940.x","ISSN":"03065251","PMID":"21320152","abstract":"AIM This study was designed to characterize the population pharmacokinetics of isoniazid in South African pulmonary tuberculosis patients. METHODS Concentration-time measurements obtained from 235 patients receiving oral doses of isoniazid as part of routine tuberculosis chemotherapy in two clinical studies were pooled and subjected to nonlinear mixed-effects analysis. RESULTS A two-compartmental model, including first-order absorption and elimination with allometric scaling, was found to describe the observed dose-exposure relationship for oral isoniazid adequately. A mixture model was used to characterize dual rates of isoniazid elimination. Estimates of apparent clearance in slow and fast eliminators were 9.70 and 21.6 l h(-1) , respectively. The proportion of fast eliminators in the population was estimated to be 13.2%. Central volume of distribution was estimated to be 10% smaller in female patients and clearance was found to be 17% lower in patients with HIV. Variability in absorption rate (90%) was completely interoccasional in nature, whereas in relative bioavailability, interoccasional variability (8.4%) was lower than interindividual variability (26%). Oral doses, given once daily according to dosing policies at the time, were sufficient to reach therapeutic concentrations in the majority of the studied population, regardless of eliminator phenotype. Simulations suggested that current treatment guidelines (5 mg kg(-1) ) may be suboptimal in fast eliminators with low body weight. CONCLUSIONS A population pharmacokinetic model was developed to characterize the highly variable pharmacokinetics of isoniazid in a South African pulmonary tuberculosis patient population. Current treatment guidelines may lead to underexposure in rapid isoniazid eliminators.","author":[{"dropping-particle":"","family":"Wilkins","given":"Justin J.","non-dropping-particle":"","parse-names":false,"suffix":""},{"dropping-particle":"","family":"Langdon","given":"Grant","non-dropping-particle":"","parse-names":false,"suffix":""},{"dropping-particle":"","family":"McIlleron","given":"Helen","non-dropping-particle":"","parse-names":false,"suffix":""},{"dropping-particle":"","family":"Pillai","given":"Goonaseelan","non-dropping-particle":"","parse-names":false,"suffix":""},{"dropping-particle":"","family":"Smith","given":"Peter J.","non-dropping-particle":"","parse-names":false,"suffix":""},{"dropping-particle":"","family":"Simonsson","given":"Ulrika S. H.","non-dropping-particle":"","parse-names":false,"suffix":""}],"container-title":"British Journal of Clinical Pharmacology","id":"ITEM-1","issue":"1","issued":{"date-parts":[["2011","7"]]},"page":"51-62","title":"Variability in the population pharmacokinetics of isoniazid in South African tuberculosis patients","type":"article-journal","volume":"72"},"uris":["http://www.mendeley.com/documents/?uuid=27f447b5-fb27-32c1-95a0-4e46ed16c4ab"]}],"mendeley":{"formattedCitation":"[7]","plainTextFormattedCitation":"[7]","previouslyFormattedCitation":"[7]"},"properties":{"noteIndex":0},"schema":"https://github.com/citation-style-language/schema/raw/master/csl-citation.json"}</w:instrText>
            </w:r>
            <w:r w:rsidRPr="00831D05">
              <w:fldChar w:fldCharType="separate"/>
            </w:r>
            <w:r w:rsidRPr="00B17ECB">
              <w:rPr>
                <w:noProof/>
              </w:rPr>
              <w:t>[7]</w:t>
            </w:r>
            <w:r w:rsidRPr="00831D05">
              <w:fldChar w:fldCharType="end"/>
            </w:r>
          </w:p>
        </w:tc>
        <w:tc>
          <w:tcPr>
            <w:tcW w:w="5061" w:type="dxa"/>
            <w:tcBorders>
              <w:top w:val="nil"/>
              <w:left w:val="nil"/>
              <w:bottom w:val="nil"/>
              <w:right w:val="nil"/>
            </w:tcBorders>
          </w:tcPr>
          <w:p w14:paraId="476382D0" w14:textId="77777777" w:rsidR="00A936F3" w:rsidRPr="00831D05" w:rsidRDefault="00A936F3" w:rsidP="008F5DA4">
            <w:pPr>
              <w:spacing w:line="240" w:lineRule="auto"/>
              <w:jc w:val="left"/>
              <w:rPr>
                <w:rFonts w:eastAsia="Times New Roman"/>
                <w:color w:val="000000"/>
              </w:rPr>
            </w:pPr>
          </w:p>
        </w:tc>
      </w:tr>
      <w:tr w:rsidR="00A936F3" w:rsidRPr="00831D05" w14:paraId="0A41E9F8" w14:textId="77777777" w:rsidTr="00523DBE">
        <w:trPr>
          <w:trHeight w:val="320"/>
        </w:trPr>
        <w:tc>
          <w:tcPr>
            <w:tcW w:w="1300" w:type="dxa"/>
            <w:tcBorders>
              <w:top w:val="nil"/>
              <w:left w:val="nil"/>
              <w:bottom w:val="nil"/>
              <w:right w:val="nil"/>
            </w:tcBorders>
            <w:shd w:val="clear" w:color="auto" w:fill="auto"/>
            <w:noWrap/>
          </w:tcPr>
          <w:p w14:paraId="34A1FC69" w14:textId="77777777" w:rsidR="00A936F3" w:rsidRPr="00896B01" w:rsidRDefault="00A936F3" w:rsidP="008F5DA4">
            <w:pPr>
              <w:spacing w:line="240" w:lineRule="auto"/>
              <w:jc w:val="left"/>
              <w:rPr>
                <w:rFonts w:eastAsia="Times New Roman"/>
                <w:color w:val="000000"/>
              </w:rPr>
            </w:pPr>
          </w:p>
        </w:tc>
        <w:tc>
          <w:tcPr>
            <w:tcW w:w="1535" w:type="dxa"/>
            <w:tcBorders>
              <w:top w:val="nil"/>
              <w:left w:val="nil"/>
              <w:bottom w:val="nil"/>
              <w:right w:val="nil"/>
            </w:tcBorders>
          </w:tcPr>
          <w:p w14:paraId="455D1DB6" w14:textId="000D56FA" w:rsidR="00A936F3" w:rsidRPr="00831D05" w:rsidRDefault="00A936F3" w:rsidP="00A936F3">
            <w:pPr>
              <w:spacing w:line="240" w:lineRule="auto"/>
              <w:jc w:val="right"/>
              <w:rPr>
                <w:rFonts w:eastAsia="Times New Roman"/>
                <w:color w:val="000000"/>
              </w:rPr>
            </w:pPr>
            <w:r w:rsidRPr="00831D05">
              <w:rPr>
                <w:rFonts w:eastAsia="Times New Roman"/>
                <w:color w:val="000000"/>
              </w:rPr>
              <w:t>f: 38.1</w:t>
            </w:r>
          </w:p>
        </w:tc>
        <w:tc>
          <w:tcPr>
            <w:tcW w:w="1885" w:type="dxa"/>
            <w:tcBorders>
              <w:top w:val="nil"/>
              <w:left w:val="nil"/>
              <w:bottom w:val="nil"/>
              <w:right w:val="nil"/>
            </w:tcBorders>
            <w:shd w:val="clear" w:color="000000" w:fill="auto"/>
            <w:noWrap/>
          </w:tcPr>
          <w:p w14:paraId="2049B998" w14:textId="41842F29" w:rsidR="00A936F3" w:rsidRPr="00831D05" w:rsidRDefault="00A936F3" w:rsidP="00A936F3">
            <w:pPr>
              <w:pBdr>
                <w:top w:val="nil"/>
                <w:left w:val="nil"/>
                <w:bottom w:val="nil"/>
                <w:right w:val="nil"/>
                <w:between w:val="nil"/>
              </w:pBdr>
              <w:spacing w:line="240" w:lineRule="auto"/>
              <w:jc w:val="right"/>
            </w:pPr>
            <w:r w:rsidRPr="00831D05">
              <w:t xml:space="preserve">19.8  </w:t>
            </w:r>
            <w:r w:rsidRPr="00831D05">
              <w:fldChar w:fldCharType="begin" w:fldLock="1"/>
            </w:r>
            <w:r>
              <w:instrText>ADDIN CSL_CITATION {"citationItems":[{"id":"ITEM-1","itemData":{"DOI":"10.1016/j.ijantimicag.2014.04.019","ISSN":"09248579","PMID":"24985091","abstract":"Therapeutic drug monitoring (TDM) of tuberculosis (TB) drugs currently focuses on peak plasma concentrations, yet total exposure [area under the 24-h concentration-time curve (AUC</w:instrText>
            </w:r>
            <w:r>
              <w:rPr>
                <w:rFonts w:ascii="Calibri" w:eastAsia="Calibri" w:hAnsi="Calibri" w:cs="Calibri"/>
              </w:rPr>
              <w:instrText>₀₋₂₄</w:instrText>
            </w:r>
            <w:r>
              <w:instrText>)] is probably most relevant to the efficacy of these drugs. We therefore assessed population AUC</w:instrText>
            </w:r>
            <w:r>
              <w:rPr>
                <w:rFonts w:ascii="Calibri" w:eastAsia="Calibri" w:hAnsi="Calibri" w:cs="Calibri"/>
              </w:rPr>
              <w:instrText>₀₋₂₄</w:instrText>
            </w:r>
            <w:r>
              <w:instrText xml:space="preserve"> data for all four first-line TB drugs (rifampicin, isoniazid, pyrazinamide and ethambutol) as well as moxifloxacin and developed limited sampling strategies to estimate AUC</w:instrText>
            </w:r>
            <w:r>
              <w:rPr>
                <w:rFonts w:ascii="Calibri" w:eastAsia="Calibri" w:hAnsi="Calibri" w:cs="Calibri"/>
              </w:rPr>
              <w:instrText>₀₋₂₄</w:instrText>
            </w:r>
            <w:r>
              <w:instrText xml:space="preserve"> values conveniently. AUC</w:instrText>
            </w:r>
            <w:r>
              <w:rPr>
                <w:rFonts w:ascii="Calibri" w:eastAsia="Calibri" w:hAnsi="Calibri" w:cs="Calibri"/>
              </w:rPr>
              <w:instrText>₀₋₂₄</w:instrText>
            </w:r>
            <w:r>
              <w:instrText xml:space="preserve"> and other pharmacokinetic (PK) parameters were determined following intensive PK sampling in two Dutch TB referral centres. Best subset selection multiple linear regression was performed to derive limited sampling equations. Median percentage prediction error and median absolute percentage prediction error were calculated via jackknife analysis to evaluate bias and imprecision of the predictions. Geometric mean AUC</w:instrText>
            </w:r>
            <w:r>
              <w:rPr>
                <w:rFonts w:ascii="Calibri" w:eastAsia="Calibri" w:hAnsi="Calibri" w:cs="Calibri"/>
              </w:rPr>
              <w:instrText>₀₋₂₄</w:instrText>
            </w:r>
            <w:r>
              <w:instrText xml:space="preserve"> values for rifampicin, isoniazid, pyrazinamide, ethambutol and moxifloxacin were 41.1, 15.2, 380, 25.5 and 33.6 hmg/L, respectively. Limited sampling at various fixed sampling points enabled an accurate and precise prediction of AUC</w:instrText>
            </w:r>
            <w:r>
              <w:rPr>
                <w:rFonts w:ascii="Calibri" w:eastAsia="Calibri" w:hAnsi="Calibri" w:cs="Calibri"/>
              </w:rPr>
              <w:instrText>₀₋₂₄</w:instrText>
            </w:r>
            <w:r>
              <w:instrText xml:space="preserve"> values of all drugs separately and simultaneously. In the absence of clinically validated target values for AUC</w:instrText>
            </w:r>
            <w:r>
              <w:rPr>
                <w:rFonts w:ascii="Calibri" w:eastAsia="Calibri" w:hAnsi="Calibri" w:cs="Calibri"/>
              </w:rPr>
              <w:instrText>₀₋₂₄</w:instrText>
            </w:r>
            <w:r>
              <w:instrText>, average AUC</w:instrText>
            </w:r>
            <w:r>
              <w:rPr>
                <w:rFonts w:ascii="Calibri" w:eastAsia="Calibri" w:hAnsi="Calibri" w:cs="Calibri"/>
              </w:rPr>
              <w:instrText>₀₋₂₄</w:instrText>
            </w:r>
            <w:r>
              <w:instrText xml:space="preserve"> values can be used as reference values in TDM. Limited sampling of AUC</w:instrText>
            </w:r>
            <w:r>
              <w:rPr>
                <w:rFonts w:ascii="Calibri" w:eastAsia="Calibri" w:hAnsi="Calibri" w:cs="Calibri"/>
              </w:rPr>
              <w:instrText>₀₋₂₄</w:instrText>
            </w:r>
            <w:r>
              <w:instrText xml:space="preserve"> is feasible in many settings and allows for TDM to be performed at a larger scale.","author":[{"dropping-particle":"","family":"Magis-Escurra","given":"C.","non-dropping-particle":"","parse-names":false,"suffix":""},{"dropping-particle":"","family":"Later-Nijland","given":"H.M.J.","non-dropping-particle":"","parse-names":false,"suffix":""},{"dropping-particle":"","family":"Alffenaar","given":"J.W.C.","non-dropping-particle":"","parse-names":false,"suffix":""},{"dropping-particle":"","family":"Broeders","given":"J.","non-dropping-particle":"","parse-names":false,"suffix":""},{"dropping-particle":"","family":"Burger","given":"D.M.","non-dropping-particle":"","parse-names":false,"suffix":""},{"dropping-particle":"","family":"Crevel","given":"R.","non-dropping-particle":"van","parse-names":false,"suffix":""},{"dropping-particle":"","family":"Boeree","given":"M.J.","non-dropping-particle":"","parse-names":false,"suffix":""},{"dropping-particle":"","family":"Donders","given":"A.R.T.","non-dropping-particle":"","parse-names":false,"suffix":""},{"dropping-particle":"","family":"Altena","given":"R.","non-dropping-particle":"van","parse-names":false,"suffix":""},{"dropping-particle":"","family":"Werf","given":"T.S.","non-dropping-particle":"van der","parse-names":false,"suffix":""},{"dropping-particle":"","family":"Aarnoutse","given":"R.E.","non-dropping-particle":"","parse-names":false,"suffix":""}],"container-title":"International Journal of Antimicrobial Agents","id":"ITEM-1","issue":"3","issued":{"date-parts":[["2014","9"]]},"page":"229-234","title":"Population pharmacokinetics and limited sampling strategy for first-line tuberculosis drugs and moxifloxacin","type":"article-journal","volume":"44"},"uris":["http://www.mendeley.com/documents/?uuid=e5a8a7cc-6342-3a63-a3cd-455f60afe9ff"]}],"mendeley":{"formattedCitation":"[5]","plainTextFormattedCitation":"[5]","previouslyFormattedCitation":"[5]"},"properties":{"noteIndex":0},"schema":"https://github.com/citation-style-language/schema/raw/master/csl-citation.json"}</w:instrText>
            </w:r>
            <w:r w:rsidRPr="00831D05">
              <w:fldChar w:fldCharType="separate"/>
            </w:r>
            <w:r w:rsidRPr="00B17ECB">
              <w:rPr>
                <w:noProof/>
              </w:rPr>
              <w:t>[5]</w:t>
            </w:r>
            <w:r w:rsidRPr="00831D05">
              <w:fldChar w:fldCharType="end"/>
            </w:r>
          </w:p>
        </w:tc>
        <w:tc>
          <w:tcPr>
            <w:tcW w:w="5061" w:type="dxa"/>
            <w:tcBorders>
              <w:top w:val="nil"/>
              <w:left w:val="nil"/>
              <w:bottom w:val="nil"/>
              <w:right w:val="nil"/>
            </w:tcBorders>
          </w:tcPr>
          <w:p w14:paraId="4761B3F7" w14:textId="77777777" w:rsidR="00A936F3" w:rsidRPr="00831D05" w:rsidRDefault="00A936F3" w:rsidP="008F5DA4">
            <w:pPr>
              <w:spacing w:line="240" w:lineRule="auto"/>
              <w:jc w:val="left"/>
              <w:rPr>
                <w:rFonts w:eastAsia="Times New Roman"/>
                <w:color w:val="000000"/>
              </w:rPr>
            </w:pPr>
          </w:p>
        </w:tc>
      </w:tr>
      <w:tr w:rsidR="00A936F3" w:rsidRPr="00831D05" w14:paraId="69096C9B" w14:textId="77777777" w:rsidTr="00523DBE">
        <w:trPr>
          <w:trHeight w:val="320"/>
        </w:trPr>
        <w:tc>
          <w:tcPr>
            <w:tcW w:w="1300" w:type="dxa"/>
            <w:tcBorders>
              <w:top w:val="nil"/>
              <w:left w:val="nil"/>
              <w:bottom w:val="nil"/>
              <w:right w:val="nil"/>
            </w:tcBorders>
            <w:shd w:val="clear" w:color="auto" w:fill="auto"/>
            <w:noWrap/>
          </w:tcPr>
          <w:p w14:paraId="55C6299E" w14:textId="77777777" w:rsidR="00A936F3" w:rsidRPr="00896B01" w:rsidRDefault="00A936F3" w:rsidP="008F5DA4">
            <w:pPr>
              <w:spacing w:line="240" w:lineRule="auto"/>
              <w:jc w:val="left"/>
              <w:rPr>
                <w:rFonts w:eastAsia="Times New Roman"/>
                <w:color w:val="000000"/>
              </w:rPr>
            </w:pPr>
          </w:p>
        </w:tc>
        <w:tc>
          <w:tcPr>
            <w:tcW w:w="1535" w:type="dxa"/>
            <w:tcBorders>
              <w:top w:val="nil"/>
              <w:left w:val="nil"/>
              <w:bottom w:val="nil"/>
              <w:right w:val="nil"/>
            </w:tcBorders>
          </w:tcPr>
          <w:p w14:paraId="2E378258" w14:textId="77777777" w:rsidR="00A936F3" w:rsidRPr="00831D05" w:rsidRDefault="00A936F3" w:rsidP="008F5DA4">
            <w:pPr>
              <w:spacing w:line="240" w:lineRule="auto"/>
              <w:jc w:val="right"/>
              <w:rPr>
                <w:rFonts w:eastAsia="Times New Roman"/>
                <w:color w:val="000000"/>
              </w:rPr>
            </w:pPr>
          </w:p>
        </w:tc>
        <w:tc>
          <w:tcPr>
            <w:tcW w:w="1885" w:type="dxa"/>
            <w:tcBorders>
              <w:top w:val="nil"/>
              <w:left w:val="nil"/>
              <w:bottom w:val="nil"/>
              <w:right w:val="nil"/>
            </w:tcBorders>
            <w:shd w:val="clear" w:color="000000" w:fill="auto"/>
            <w:noWrap/>
          </w:tcPr>
          <w:p w14:paraId="22902BAF" w14:textId="321E3C44" w:rsidR="00A936F3" w:rsidRPr="00831D05" w:rsidRDefault="00A936F3" w:rsidP="00B42C1C">
            <w:pPr>
              <w:pBdr>
                <w:top w:val="nil"/>
                <w:left w:val="nil"/>
                <w:bottom w:val="nil"/>
                <w:right w:val="nil"/>
                <w:between w:val="nil"/>
              </w:pBdr>
              <w:spacing w:line="240" w:lineRule="auto"/>
              <w:jc w:val="right"/>
            </w:pPr>
            <w:r w:rsidRPr="00831D05">
              <w:t xml:space="preserve">25.8 </w:t>
            </w:r>
            <w:r w:rsidRPr="00831D05">
              <w:rPr>
                <w:rFonts w:eastAsia="Times New Roman"/>
                <w:color w:val="000000"/>
              </w:rPr>
              <w:fldChar w:fldCharType="begin" w:fldLock="1"/>
            </w:r>
            <w:r>
              <w:rPr>
                <w:rFonts w:eastAsia="Times New Roman"/>
                <w:color w:val="000000"/>
              </w:rPr>
              <w:instrText>ADDIN CSL_CITATION {"citationItems":[{"id":"ITEM-1","itemData":{"DOI":"10.1128/AAC.02599-12","ISSN":"1098-6596","PMID":"23629715","abstract":"East Africa has a high tuberculosis (TB) incidence and mortality, yet there are very limited data on exposure to TB drugs in patients from this region. We therefore determined the pharmacokinetic characteristics of first-line TB drugs in Tanzanian patients using intensive pharmacokinetic sampling. In 20 adult TB patients, plasma concentrations were determined just before and at 1, 2, 3, 4, 6, 8, 10, and 24 h after observed drug intake with food to estimate the areas under the curve from 0 to 24 h (AUC0-24) and peak plasma concentrations (Cmax) of isoniazid, rifampin, pyrazinamide, and ethambutol. Acetylator status for isoniazid was assessed phenotypically using the isoniazid elimination half-life and the acetylisoniazid/isoniazid metabolic ratio at 3 h postdose. The geometric mean AUC0-24s were as follows: isoniazid, 11.0 h · mg/liter; rifampin, 39.9 h · mg/liter; pyrazinamide, 344 h · mg/liter; and ethambutol, 20.2 h · mg/liter. The Cmax was below the reference range for isoniazid in 10/19 patients and for rifampin in 7/20 patients. In none of the patients were the Cmaxs for pyrazinamide and ethambutol below the reference range. Elimination half-life and metabolic ratio of isoniazid gave discordant phenotyping results in only 2/19 patients. A substantial proportion of patients had an isoniazid and/or rifampin Cmax below the reference range. Intake of TB drugs with food may partly explain these low drug levels, but such a drug intake reflects common practice. The finding of low TB drug concentrations is concerning because low concentrations have been associated with worse treatment outcome in several other studies.","author":[{"dropping-particle":"","family":"Tostmann","given":"Alma","non-dropping-particle":"","parse-names":false,"suffix":""},{"dropping-particle":"","family":"Mtabho","given":"Charles M","non-dropping-particle":"","parse-names":false,"suffix":""},{"dropping-particle":"","family":"Semvua","given":"Hadija H","non-dropping-particle":"","parse-names":false,"suffix":""},{"dropping-particle":"","family":"Boogaard","given":"Jossy","non-dropping-particle":"van den","parse-names":false,"suffix":""},{"dropping-particle":"","family":"Kibiki","given":"Gibson S","non-dropping-particle":"","parse-names":false,"suffix":""},{"dropping-particle":"","family":"Boeree","given":"Martin J","non-dropping-particle":"","parse-names":false,"suffix":""},{"dropping-particle":"","family":"Aarnoutse","given":"Rob E","non-dropping-particle":"","parse-names":false,"suffix":""}],"container-title":"Antimicrobial agents and chemotherapy","id":"ITEM-1","issue":"7","issued":{"date-parts":[["2013","7","1"]]},"page":"3208-13","publisher":"American Society for Microbiology Journals","title":"Pharmacokinetics of first-line tuberculosis drugs in Tanzanian patients.","type":"article-journal","volume":"57"},"uris":["http://www.mendeley.com/documents/?uuid=1c0213d0-4201-3fb3-9e3a-f609cf9b1265"]}],"mendeley":{"formattedCitation":"[4]","plainTextFormattedCitation":"[4]","previouslyFormattedCitation":"[4]"},"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[4]</w:t>
            </w:r>
            <w:r w:rsidRPr="00831D05">
              <w:rPr>
                <w:rFonts w:eastAsia="Times New Roman"/>
                <w:color w:val="000000"/>
              </w:rPr>
              <w:fldChar w:fldCharType="end"/>
            </w:r>
          </w:p>
        </w:tc>
        <w:tc>
          <w:tcPr>
            <w:tcW w:w="5061" w:type="dxa"/>
            <w:tcBorders>
              <w:top w:val="nil"/>
              <w:left w:val="nil"/>
              <w:bottom w:val="nil"/>
              <w:right w:val="nil"/>
            </w:tcBorders>
          </w:tcPr>
          <w:p w14:paraId="0FE89784" w14:textId="77777777" w:rsidR="00A936F3" w:rsidRPr="00831D05" w:rsidRDefault="00A936F3" w:rsidP="008F5DA4">
            <w:pPr>
              <w:spacing w:line="240" w:lineRule="auto"/>
              <w:jc w:val="left"/>
              <w:rPr>
                <w:rFonts w:eastAsia="Times New Roman"/>
                <w:color w:val="000000"/>
              </w:rPr>
            </w:pPr>
          </w:p>
        </w:tc>
      </w:tr>
      <w:tr w:rsidR="00A936F3" w:rsidRPr="00831D05" w14:paraId="5616DE33" w14:textId="77777777" w:rsidTr="00A936F3">
        <w:trPr>
          <w:trHeight w:val="320"/>
        </w:trPr>
        <w:tc>
          <w:tcPr>
            <w:tcW w:w="1300" w:type="dxa"/>
            <w:tcBorders>
              <w:top w:val="nil"/>
              <w:left w:val="nil"/>
              <w:right w:val="nil"/>
            </w:tcBorders>
            <w:shd w:val="clear" w:color="auto" w:fill="auto"/>
            <w:noWrap/>
          </w:tcPr>
          <w:p w14:paraId="677EA3C2" w14:textId="77777777" w:rsidR="00A936F3" w:rsidRPr="00896B01" w:rsidRDefault="00A936F3" w:rsidP="008F5DA4">
            <w:pPr>
              <w:spacing w:line="240" w:lineRule="auto"/>
              <w:jc w:val="left"/>
              <w:rPr>
                <w:rFonts w:eastAsia="Times New Roman"/>
                <w:color w:val="000000"/>
              </w:rPr>
            </w:pPr>
          </w:p>
        </w:tc>
        <w:tc>
          <w:tcPr>
            <w:tcW w:w="1535" w:type="dxa"/>
            <w:tcBorders>
              <w:top w:val="nil"/>
              <w:left w:val="nil"/>
              <w:right w:val="nil"/>
            </w:tcBorders>
          </w:tcPr>
          <w:p w14:paraId="005D4530" w14:textId="77777777" w:rsidR="00A936F3" w:rsidRPr="00831D05" w:rsidRDefault="00A936F3" w:rsidP="008F5DA4">
            <w:pPr>
              <w:spacing w:line="240" w:lineRule="auto"/>
              <w:jc w:val="right"/>
              <w:rPr>
                <w:rFonts w:eastAsia="Times New Roman"/>
                <w:color w:val="000000"/>
              </w:rPr>
            </w:pPr>
          </w:p>
        </w:tc>
        <w:tc>
          <w:tcPr>
            <w:tcW w:w="1885" w:type="dxa"/>
            <w:tcBorders>
              <w:top w:val="nil"/>
              <w:left w:val="nil"/>
              <w:right w:val="nil"/>
            </w:tcBorders>
            <w:shd w:val="clear" w:color="000000" w:fill="auto"/>
            <w:noWrap/>
          </w:tcPr>
          <w:p w14:paraId="1533F1A5" w14:textId="42C49B46" w:rsidR="00A936F3" w:rsidRPr="00831D05" w:rsidRDefault="00A936F3" w:rsidP="00B42C1C">
            <w:pPr>
              <w:pBdr>
                <w:top w:val="nil"/>
                <w:left w:val="nil"/>
                <w:bottom w:val="nil"/>
                <w:right w:val="nil"/>
                <w:between w:val="nil"/>
              </w:pBdr>
              <w:spacing w:line="240" w:lineRule="auto"/>
              <w:jc w:val="right"/>
            </w:pPr>
            <w:r w:rsidRPr="00831D05">
              <w:t>s: 14.96</w:t>
            </w:r>
          </w:p>
        </w:tc>
        <w:tc>
          <w:tcPr>
            <w:tcW w:w="5061" w:type="dxa"/>
            <w:tcBorders>
              <w:top w:val="nil"/>
              <w:left w:val="nil"/>
              <w:right w:val="nil"/>
            </w:tcBorders>
          </w:tcPr>
          <w:p w14:paraId="04CA0B0E" w14:textId="77777777" w:rsidR="00A936F3" w:rsidRPr="00831D05" w:rsidRDefault="00A936F3" w:rsidP="008F5DA4">
            <w:pPr>
              <w:spacing w:line="240" w:lineRule="auto"/>
              <w:jc w:val="left"/>
              <w:rPr>
                <w:rFonts w:eastAsia="Times New Roman"/>
                <w:color w:val="000000"/>
              </w:rPr>
            </w:pPr>
          </w:p>
        </w:tc>
      </w:tr>
      <w:tr w:rsidR="00A936F3" w:rsidRPr="00831D05" w14:paraId="1AF6BD7F" w14:textId="77777777" w:rsidTr="00A936F3">
        <w:trPr>
          <w:trHeight w:val="320"/>
        </w:trPr>
        <w:tc>
          <w:tcPr>
            <w:tcW w:w="1300" w:type="dxa"/>
            <w:tcBorders>
              <w:top w:val="nil"/>
              <w:left w:val="nil"/>
              <w:bottom w:val="single" w:sz="4" w:space="0" w:color="auto"/>
              <w:right w:val="nil"/>
            </w:tcBorders>
            <w:shd w:val="clear" w:color="auto" w:fill="auto"/>
            <w:noWrap/>
          </w:tcPr>
          <w:p w14:paraId="26BE753C" w14:textId="77777777" w:rsidR="00A936F3" w:rsidRPr="00896B01" w:rsidRDefault="00A936F3" w:rsidP="00A936F3">
            <w:pPr>
              <w:spacing w:line="240" w:lineRule="auto"/>
              <w:jc w:val="left"/>
              <w:rPr>
                <w:rFonts w:eastAsia="Times New Roman"/>
                <w:color w:val="000000"/>
              </w:rPr>
            </w:pPr>
          </w:p>
        </w:tc>
        <w:tc>
          <w:tcPr>
            <w:tcW w:w="1535" w:type="dxa"/>
            <w:tcBorders>
              <w:top w:val="nil"/>
              <w:left w:val="nil"/>
              <w:bottom w:val="single" w:sz="4" w:space="0" w:color="auto"/>
              <w:right w:val="nil"/>
            </w:tcBorders>
          </w:tcPr>
          <w:p w14:paraId="73A45257" w14:textId="77777777" w:rsidR="00A936F3" w:rsidRPr="00831D05" w:rsidRDefault="00A936F3" w:rsidP="00A936F3">
            <w:pPr>
              <w:spacing w:line="240" w:lineRule="auto"/>
              <w:jc w:val="right"/>
              <w:rPr>
                <w:rFonts w:eastAsia="Times New Roman"/>
                <w:color w:val="000000"/>
              </w:rPr>
            </w:pPr>
          </w:p>
        </w:tc>
        <w:tc>
          <w:tcPr>
            <w:tcW w:w="1885" w:type="dxa"/>
            <w:tcBorders>
              <w:top w:val="nil"/>
              <w:left w:val="nil"/>
              <w:bottom w:val="single" w:sz="4" w:space="0" w:color="auto"/>
              <w:right w:val="nil"/>
            </w:tcBorders>
            <w:shd w:val="clear" w:color="000000" w:fill="auto"/>
            <w:noWrap/>
          </w:tcPr>
          <w:p w14:paraId="01F7C1C1" w14:textId="6E790DC5" w:rsidR="00A936F3" w:rsidRPr="00831D05" w:rsidRDefault="00A936F3" w:rsidP="00A936F3">
            <w:pPr>
              <w:pBdr>
                <w:top w:val="nil"/>
                <w:left w:val="nil"/>
                <w:bottom w:val="nil"/>
                <w:right w:val="nil"/>
                <w:between w:val="nil"/>
              </w:pBdr>
              <w:spacing w:line="240" w:lineRule="auto"/>
              <w:jc w:val="right"/>
            </w:pPr>
            <w:r w:rsidRPr="00831D05">
              <w:t xml:space="preserve">f: 44.4 f </w:t>
            </w:r>
            <w:r w:rsidRPr="00831D05">
              <w:fldChar w:fldCharType="begin" w:fldLock="1"/>
            </w:r>
            <w:r>
              <w:instrText>ADDIN CSL_CITATION {"citationItems":[{"id":"ITEM-1","itemData":{"DOI":"10.1128/AAC.41.12.2670","ISSN":"0066-4804","PMID":"9420037","abstract":"Isoniazid (INH), rifampin (RIF), and pyrazinamide (PZA) are the most important drugs for the treatment of tuberculosis (TB). The pharmacokinetics of all three drugs in the plasma of 24 healthy males were studied as part of a randomized cross-over phase I study of two dosage forms. Subjects ingested single doses of INH at 250 mg, RIF at 600 mg, and PZA at 1,500 mg. Plasma was collected for 36 h and was assayed by high-performance liquid chromatography. The data were analyzed by noncompartmental, iterative two-stage maximum a posteriori probability Bayesian (IT2B) and nonparametric expectation maximization (NPEM) population modeling methods. Fast and slow acetylators of INH had median peak concentrations in plasma (C[max]) of 2.44 and 3.64 microg/ml, respectively, both of which occurred at 1.0 h postdose (time of maximum concentrations of drugs in plasma [T(max)]), with median elimination half-lives (t1/2) of 1.2 and 3.3 h, respectively (by the NPEM method). RIF produced a median C(max) of 11.80 microg/ml, a T(max) of 1.0 h, and a t1/2 of 3.4 h. PZA produced a median C(max) of 28.80 microg/ml, a T(max) of 1.0 h, and a t1/2 of 10.0 h. The pharmacokinetic behaviors of INH, RIF, and PZA were well described by the three methods used. These models can serve as benchmarks for comparison with models for other populations, such as patients with TB or TB with AIDS.","author":[{"dropping-particle":"","family":"Peloquin","given":"C A","non-dropping-particle":"","parse-names":false,"suffix":""},{"dropping-particle":"","family":"Jaresko","given":"G S","non-dropping-particle":"","parse-names":false,"suffix":""},{"dropping-particle":"","family":"Yong","given":"C L","non-dropping-particle":"","parse-names":false,"suffix":""},{"dropping-particle":"","family":"Keung","given":"A C","non-dropping-particle":"","parse-names":false,"suffix":""},{"dropping-particle":"","family":"Bulpitt","given":"A E","non-dropping-particle":"","parse-names":false,"suffix":""},{"dropping-particle":"","family":"Jelliffe","given":"R W","non-dropping-particle":"","parse-names":false,"suffix":""}],"container-title":"Antimicrobial agents and chemotherapy","id":"ITEM-1","issue":"12","issued":{"date-parts":[["1997","12","1"]]},"page":"2670-9","publisher":"American Society for Microbiology Journals","title":"Population pharmacokinetic modeling of isoniazid, rifampin, and pyrazinamide.","type":"article-journal","volume":"41"},"uris":["http://www.mendeley.com/documents/?uuid=2cc506a9-db8f-3f11-af5e-3d77e91a6433"]}],"mendeley":{"formattedCitation":"[3]","plainTextFormattedCitation":"[3]","previouslyFormattedCitation":"[3]"},"properties":{"noteIndex":0},"schema":"https://github.com/citation-style-language/schema/raw/master/csl-citation.json"}</w:instrText>
            </w:r>
            <w:r w:rsidRPr="00831D05">
              <w:fldChar w:fldCharType="separate"/>
            </w:r>
            <w:r w:rsidRPr="00B17ECB">
              <w:rPr>
                <w:noProof/>
              </w:rPr>
              <w:t>[3]</w:t>
            </w:r>
            <w:r w:rsidRPr="00831D05">
              <w:fldChar w:fldCharType="end"/>
            </w:r>
          </w:p>
        </w:tc>
        <w:tc>
          <w:tcPr>
            <w:tcW w:w="5061" w:type="dxa"/>
            <w:tcBorders>
              <w:top w:val="nil"/>
              <w:left w:val="nil"/>
              <w:bottom w:val="single" w:sz="4" w:space="0" w:color="auto"/>
              <w:right w:val="nil"/>
            </w:tcBorders>
          </w:tcPr>
          <w:p w14:paraId="18D0BD31" w14:textId="1D41CB9B" w:rsidR="00A936F3" w:rsidRPr="00831D05" w:rsidRDefault="00A936F3" w:rsidP="00A936F3">
            <w:pPr>
              <w:spacing w:line="240" w:lineRule="auto"/>
              <w:jc w:val="left"/>
              <w:rPr>
                <w:rFonts w:eastAsia="Times New Roman"/>
                <w:color w:val="000000"/>
              </w:rPr>
            </w:pPr>
            <w:r w:rsidRPr="00831D05">
              <w:rPr>
                <w:rFonts w:eastAsia="Times New Roman"/>
                <w:color w:val="000000"/>
              </w:rPr>
              <w:t>non-parametric expectation maximization</w:t>
            </w:r>
          </w:p>
        </w:tc>
      </w:tr>
      <w:tr w:rsidR="00A936F3" w:rsidRPr="00831D05" w14:paraId="23F77CE2" w14:textId="77777777" w:rsidTr="00A936F3">
        <w:trPr>
          <w:trHeight w:val="320"/>
        </w:trPr>
        <w:tc>
          <w:tcPr>
            <w:tcW w:w="1300" w:type="dxa"/>
            <w:tcBorders>
              <w:top w:val="single" w:sz="4" w:space="0" w:color="auto"/>
              <w:left w:val="nil"/>
              <w:bottom w:val="nil"/>
              <w:right w:val="nil"/>
            </w:tcBorders>
            <w:shd w:val="clear" w:color="auto" w:fill="auto"/>
            <w:noWrap/>
          </w:tcPr>
          <w:p w14:paraId="0D65BFC9" w14:textId="77777777" w:rsidR="00A936F3" w:rsidRPr="00831D05" w:rsidRDefault="00A936F3" w:rsidP="00A936F3">
            <w:pPr>
              <w:spacing w:line="240" w:lineRule="auto"/>
              <w:jc w:val="left"/>
              <w:rPr>
                <w:rFonts w:eastAsia="Times New Roman"/>
                <w:color w:val="000000"/>
              </w:rPr>
            </w:pPr>
            <w:r w:rsidRPr="00831D05">
              <w:rPr>
                <w:rFonts w:eastAsia="Times New Roman"/>
                <w:color w:val="000000"/>
              </w:rPr>
              <w:t>PZA</w:t>
            </w:r>
          </w:p>
        </w:tc>
        <w:tc>
          <w:tcPr>
            <w:tcW w:w="1535" w:type="dxa"/>
            <w:tcBorders>
              <w:top w:val="single" w:sz="4" w:space="0" w:color="auto"/>
              <w:left w:val="nil"/>
              <w:bottom w:val="nil"/>
              <w:right w:val="nil"/>
            </w:tcBorders>
          </w:tcPr>
          <w:p w14:paraId="137B2C0F" w14:textId="77777777" w:rsidR="00A936F3" w:rsidRPr="00831D05" w:rsidRDefault="00A936F3" w:rsidP="00A936F3">
            <w:pPr>
              <w:spacing w:line="240" w:lineRule="auto"/>
              <w:jc w:val="right"/>
              <w:rPr>
                <w:rFonts w:eastAsia="Times New Roman"/>
                <w:color w:val="000000"/>
              </w:rPr>
            </w:pPr>
            <w:r w:rsidRPr="00831D05">
              <w:rPr>
                <w:rFonts w:eastAsia="Times New Roman"/>
                <w:color w:val="000000"/>
              </w:rPr>
              <w:t>2.05</w:t>
            </w:r>
          </w:p>
        </w:tc>
        <w:tc>
          <w:tcPr>
            <w:tcW w:w="1885" w:type="dxa"/>
            <w:tcBorders>
              <w:top w:val="single" w:sz="4" w:space="0" w:color="auto"/>
              <w:left w:val="nil"/>
              <w:bottom w:val="nil"/>
              <w:right w:val="nil"/>
            </w:tcBorders>
            <w:shd w:val="clear" w:color="000000" w:fill="auto"/>
            <w:noWrap/>
          </w:tcPr>
          <w:p w14:paraId="657E059B" w14:textId="31653710" w:rsidR="00A936F3" w:rsidRPr="00831D05" w:rsidRDefault="00A936F3" w:rsidP="00A936F3">
            <w:pPr>
              <w:pBdr>
                <w:top w:val="nil"/>
                <w:left w:val="nil"/>
                <w:bottom w:val="nil"/>
                <w:right w:val="nil"/>
                <w:between w:val="nil"/>
              </w:pBdr>
              <w:spacing w:line="240" w:lineRule="auto"/>
              <w:jc w:val="right"/>
            </w:pPr>
            <w:r w:rsidRPr="00831D05">
              <w:t xml:space="preserve">3.7 </w:t>
            </w:r>
            <w:r w:rsidRPr="00831D05">
              <w:fldChar w:fldCharType="begin" w:fldLock="1"/>
            </w:r>
            <w:r>
              <w:instrText>ADDIN CSL_CITATION {"citationItems":[{"id":"ITEM-1","itemData":{"DOI":"10.1128/AAC.41.12.2670","ISSN":"0066-4804","PMID":"9420037","abstract":"Isoniazid (INH), rifampin (RIF), and pyrazinamide (PZA) are the most important drugs for the treatment of tuberculosis (TB). The pharmacokinetics of all three drugs in the plasma of 24 healthy males were studied as part of a randomized cross-over phase I study of two dosage forms. Subjects ingested single doses of INH at 250 mg, RIF at 600 mg, and PZA at 1,500 mg. Plasma was collected for 36 h and was assayed by high-performance liquid chromatography. The data were analyzed by noncompartmental, iterative two-stage maximum a posteriori probability Bayesian (IT2B) and nonparametric expectation maximization (NPEM) population modeling methods. Fast and slow acetylators of INH had median peak concentrations in plasma (C[max]) of 2.44 and 3.64 microg/ml, respectively, both of which occurred at 1.0 h postdose (time of maximum concentrations of drugs in plasma [T(max)]), with median elimination half-lives (t1/2) of 1.2 and 3.3 h, respectively (by the NPEM method). RIF produced a median C(max) of 11.80 microg/ml, a T(max) of 1.0 h, and a t1/2 of 3.4 h. PZA produced a median C(max) of 28.80 microg/ml, a T(max) of 1.0 h, and a t1/2 of 10.0 h. The pharmacokinetic behaviors of INH, RIF, and PZA were well described by the three methods used. These models can serve as benchmarks for comparison with models for other populations, such as patients with TB or TB with AIDS.","author":[{"dropping-particle":"","family":"Peloquin","given":"C A","non-dropping-particle":"","parse-names":false,"suffix":""},{"dropping-particle":"","family":"Jaresko","given":"G S","non-dropping-particle":"","parse-names":false,"suffix":""},{"dropping-particle":"","family":"Yong","given":"C L","non-dropping-particle":"","parse-names":false,"suffix":""},{"dropping-particle":"","family":"Keung","given":"A C","non-dropping-particle":"","parse-names":false,"suffix":""},{"dropping-particle":"","family":"Bulpitt","given":"A E","non-dropping-particle":"","parse-names":false,"suffix":""},{"dropping-particle":"","family":"Jelliffe","given":"R W","non-dropping-particle":"","parse-names":false,"suffix":""}],"container-title":"Antimicrobial agents and chemotherapy","id":"ITEM-1","issue":"12","issued":{"date-parts":[["1997","12","1"]]},"page":"2670-9","publisher":"American Society for Microbiology Journals","title":"Population pharmacokinetic modeling of isoniazid, rifampin, and pyrazinamide.","type":"article-journal","volume":"41"},"uris":["http://www.mendeley.com/documents/?uuid=2cc506a9-db8f-3f11-af5e-3d77e91a6433"]}],"mendeley":{"formattedCitation":"[3]","plainTextFormattedCitation":"[3]","previouslyFormattedCitation":"[3]"},"properties":{"noteIndex":0},"schema":"https://github.com/citation-style-language/schema/raw/master/csl-citation.json"}</w:instrText>
            </w:r>
            <w:r w:rsidRPr="00831D05">
              <w:fldChar w:fldCharType="separate"/>
            </w:r>
            <w:r w:rsidRPr="00B17ECB">
              <w:rPr>
                <w:noProof/>
              </w:rPr>
              <w:t>[3]</w:t>
            </w:r>
            <w:r w:rsidRPr="00831D05">
              <w:fldChar w:fldCharType="end"/>
            </w:r>
          </w:p>
        </w:tc>
        <w:tc>
          <w:tcPr>
            <w:tcW w:w="5061" w:type="dxa"/>
            <w:tcBorders>
              <w:top w:val="single" w:sz="4" w:space="0" w:color="auto"/>
              <w:left w:val="nil"/>
              <w:bottom w:val="nil"/>
              <w:right w:val="nil"/>
            </w:tcBorders>
          </w:tcPr>
          <w:p w14:paraId="1C632E64" w14:textId="77777777" w:rsidR="00A936F3" w:rsidRPr="00831D05" w:rsidRDefault="00A936F3" w:rsidP="00A936F3">
            <w:pPr>
              <w:spacing w:line="240" w:lineRule="auto"/>
              <w:jc w:val="left"/>
              <w:rPr>
                <w:rFonts w:eastAsia="Times New Roman"/>
                <w:color w:val="000000"/>
              </w:rPr>
            </w:pPr>
            <w:r w:rsidRPr="00831D05">
              <w:rPr>
                <w:rFonts w:eastAsia="Times New Roman"/>
                <w:color w:val="000000"/>
              </w:rPr>
              <w:t>non-parametric expectation maximization</w:t>
            </w:r>
          </w:p>
        </w:tc>
      </w:tr>
      <w:tr w:rsidR="00A936F3" w:rsidRPr="00831D05" w14:paraId="7D1CE350" w14:textId="77777777" w:rsidTr="00A936F3">
        <w:trPr>
          <w:trHeight w:val="320"/>
        </w:trPr>
        <w:tc>
          <w:tcPr>
            <w:tcW w:w="1300" w:type="dxa"/>
            <w:tcBorders>
              <w:top w:val="nil"/>
              <w:left w:val="nil"/>
              <w:right w:val="nil"/>
            </w:tcBorders>
            <w:shd w:val="clear" w:color="auto" w:fill="auto"/>
            <w:noWrap/>
          </w:tcPr>
          <w:p w14:paraId="52CB296C" w14:textId="77777777" w:rsidR="00A936F3" w:rsidRPr="00831D05" w:rsidRDefault="00A936F3" w:rsidP="00A936F3">
            <w:pPr>
              <w:spacing w:line="240" w:lineRule="auto"/>
              <w:jc w:val="left"/>
              <w:rPr>
                <w:rFonts w:eastAsia="Times New Roman"/>
                <w:color w:val="000000"/>
              </w:rPr>
            </w:pPr>
          </w:p>
        </w:tc>
        <w:tc>
          <w:tcPr>
            <w:tcW w:w="1535" w:type="dxa"/>
            <w:tcBorders>
              <w:top w:val="nil"/>
              <w:left w:val="nil"/>
              <w:right w:val="nil"/>
            </w:tcBorders>
          </w:tcPr>
          <w:p w14:paraId="5700F770" w14:textId="77777777" w:rsidR="00A936F3" w:rsidRPr="00831D05" w:rsidRDefault="00A936F3" w:rsidP="00A936F3">
            <w:pPr>
              <w:spacing w:line="240" w:lineRule="auto"/>
              <w:jc w:val="right"/>
              <w:rPr>
                <w:rFonts w:eastAsia="Times New Roman"/>
                <w:color w:val="000000"/>
              </w:rPr>
            </w:pPr>
          </w:p>
        </w:tc>
        <w:tc>
          <w:tcPr>
            <w:tcW w:w="1885" w:type="dxa"/>
            <w:tcBorders>
              <w:top w:val="nil"/>
              <w:left w:val="nil"/>
              <w:right w:val="nil"/>
            </w:tcBorders>
            <w:shd w:val="clear" w:color="000000" w:fill="auto"/>
            <w:noWrap/>
          </w:tcPr>
          <w:p w14:paraId="5B217068" w14:textId="07FD517F" w:rsidR="00A936F3" w:rsidRPr="00831D05" w:rsidRDefault="00A936F3" w:rsidP="00A936F3">
            <w:pPr>
              <w:pBdr>
                <w:top w:val="nil"/>
                <w:left w:val="nil"/>
                <w:bottom w:val="nil"/>
                <w:right w:val="nil"/>
                <w:between w:val="nil"/>
              </w:pBdr>
              <w:spacing w:line="240" w:lineRule="auto"/>
              <w:jc w:val="right"/>
            </w:pPr>
            <w:r w:rsidRPr="00831D05">
              <w:t xml:space="preserve">4.5 </w:t>
            </w:r>
            <w:r w:rsidRPr="00831D05">
              <w:fldChar w:fldCharType="begin" w:fldLock="1"/>
            </w:r>
            <w:r>
              <w:instrText>ADDIN CSL_CITATION {"citationItems":[{"id":"ITEM-1","itemData":{"DOI":"10.1128/AAC.02599-12","ISSN":"1098-6596","PMID":"23629715","abstract":"East Africa has a high tuberculosis (TB) incidence and mortality, yet there are very limited data on exposure to TB drugs in patients from this region. We therefore determined the pharmacokinetic characteristics of first-line TB drugs in Tanzanian patients using intensive pharmacokinetic sampling. In 20 adult TB patients, plasma concentrations were determined just before and at 1, 2, 3, 4, 6, 8, 10, and 24 h after observed drug intake with food to estimate the areas under the curve from 0 to 24 h (AUC0-24) and peak plasma concentrations (Cmax) of isoniazid, rifampin, pyrazinamide, and ethambutol. Acetylator status for isoniazid was assessed phenotypically using the isoniazid elimination half-life and the acetylisoniazid/isoniazid metabolic ratio at 3 h postdose. The geometric mean AUC0-24s were as follows: isoniazid, 11.0 h · mg/liter; rifampin, 39.9 h · mg/liter; pyrazinamide, 344 h · mg/liter; and ethambutol, 20.2 h · mg/liter. The Cmax was below the reference range for isoniazid in 10/19 patients and for rifampin in 7/20 patients. In none of the patients were the Cmaxs for pyrazinamide and ethambutol below the reference range. Elimination half-life and metabolic ratio of isoniazid gave discordant phenotyping results in only 2/19 patients. A substantial proportion of patients had an isoniazid and/or rifampin Cmax below the reference range. Intake of TB drugs with food may partly explain these low drug levels, but such a drug intake reflects common practice. The finding of low TB drug concentrations is concerning because low concentrations have been associated with worse treatment outcome in several other studies.","author":[{"dropping-particle":"","family":"Tostmann","given":"Alma","non-dropping-particle":"","parse-names":false,"suffix":""},{"dropping-particle":"","family":"Mtabho","given":"Charles M","non-dropping-particle":"","parse-names":false,"suffix":""},{"dropping-particle":"","family":"Semvua","given":"Hadija H","non-dropping-particle":"","parse-names":false,"suffix":""},{"dropping-particle":"","family":"Boogaard","given":"Jossy","non-dropping-particle":"van den","parse-names":false,"suffix":""},{"dropping-particle":"","family":"Kibiki","given":"Gibson S","non-dropping-particle":"","parse-names":false,"suffix":""},{"dropping-particle":"","family":"Boeree","given":"Martin J","non-dropping-particle":"","parse-names":false,"suffix":""},{"dropping-particle":"","family":"Aarnoutse","given":"Rob E","non-dropping-particle":"","parse-names":false,"suffix":""}],"container-title":"Antimicrobial agents and chemotherapy","id":"ITEM-1","issue":"7","issued":{"date-parts":[["2013","7","1"]]},"page":"3208-13","publisher":"American Society for Microbiology Journals","title":"Pharmacokinetics of first-line tuberculosis drugs in Tanzanian patients.","type":"article-journal","volume":"57"},"uris":["http://www.mendeley.com/documents/?uuid=1c0213d0-4201-3fb3-9e3a-f609cf9b1265"]}],"mendeley":{"formattedCitation":"[4]","plainTextFormattedCitation":"[4]","previouslyFormattedCitation":"[4]"},"properties":{"noteIndex":0},"schema":"https://github.com/citation-style-language/schema/raw/master/csl-citation.json"}</w:instrText>
            </w:r>
            <w:r w:rsidRPr="00831D05">
              <w:fldChar w:fldCharType="separate"/>
            </w:r>
            <w:r w:rsidRPr="00B17ECB">
              <w:rPr>
                <w:noProof/>
              </w:rPr>
              <w:t>[4]</w:t>
            </w:r>
            <w:r w:rsidRPr="00831D05">
              <w:fldChar w:fldCharType="end"/>
            </w:r>
          </w:p>
        </w:tc>
        <w:tc>
          <w:tcPr>
            <w:tcW w:w="5061" w:type="dxa"/>
            <w:tcBorders>
              <w:top w:val="nil"/>
              <w:left w:val="nil"/>
              <w:right w:val="nil"/>
            </w:tcBorders>
          </w:tcPr>
          <w:p w14:paraId="2CE23520" w14:textId="77777777" w:rsidR="00A936F3" w:rsidRPr="00831D05" w:rsidRDefault="00A936F3" w:rsidP="00A936F3">
            <w:pPr>
              <w:spacing w:line="240" w:lineRule="auto"/>
              <w:jc w:val="left"/>
              <w:rPr>
                <w:rFonts w:eastAsia="Times New Roman"/>
                <w:color w:val="000000"/>
              </w:rPr>
            </w:pPr>
          </w:p>
        </w:tc>
      </w:tr>
      <w:tr w:rsidR="00A936F3" w:rsidRPr="00831D05" w14:paraId="1D603839" w14:textId="77777777" w:rsidTr="00A936F3">
        <w:trPr>
          <w:trHeight w:val="320"/>
        </w:trPr>
        <w:tc>
          <w:tcPr>
            <w:tcW w:w="1300" w:type="dxa"/>
            <w:tcBorders>
              <w:top w:val="nil"/>
              <w:left w:val="nil"/>
              <w:bottom w:val="single" w:sz="4" w:space="0" w:color="auto"/>
              <w:right w:val="nil"/>
            </w:tcBorders>
            <w:shd w:val="clear" w:color="auto" w:fill="auto"/>
            <w:noWrap/>
          </w:tcPr>
          <w:p w14:paraId="33744217" w14:textId="77777777" w:rsidR="00A936F3" w:rsidRPr="00831D05" w:rsidRDefault="00A936F3" w:rsidP="00A936F3">
            <w:pPr>
              <w:spacing w:line="240" w:lineRule="auto"/>
              <w:jc w:val="left"/>
              <w:rPr>
                <w:rFonts w:eastAsia="Times New Roman"/>
                <w:color w:val="000000"/>
              </w:rPr>
            </w:pPr>
          </w:p>
        </w:tc>
        <w:tc>
          <w:tcPr>
            <w:tcW w:w="1535" w:type="dxa"/>
            <w:tcBorders>
              <w:top w:val="nil"/>
              <w:left w:val="nil"/>
              <w:bottom w:val="single" w:sz="4" w:space="0" w:color="auto"/>
              <w:right w:val="nil"/>
            </w:tcBorders>
          </w:tcPr>
          <w:p w14:paraId="0E183268" w14:textId="77777777" w:rsidR="00A936F3" w:rsidRPr="00831D05" w:rsidRDefault="00A936F3" w:rsidP="00A936F3">
            <w:pPr>
              <w:spacing w:line="240" w:lineRule="auto"/>
              <w:jc w:val="right"/>
              <w:rPr>
                <w:rFonts w:eastAsia="Times New Roman"/>
                <w:color w:val="000000"/>
              </w:rPr>
            </w:pPr>
          </w:p>
        </w:tc>
        <w:tc>
          <w:tcPr>
            <w:tcW w:w="1885" w:type="dxa"/>
            <w:tcBorders>
              <w:top w:val="nil"/>
              <w:left w:val="nil"/>
              <w:bottom w:val="single" w:sz="4" w:space="0" w:color="auto"/>
              <w:right w:val="nil"/>
            </w:tcBorders>
            <w:shd w:val="clear" w:color="000000" w:fill="auto"/>
            <w:noWrap/>
          </w:tcPr>
          <w:p w14:paraId="51528401" w14:textId="79855B37" w:rsidR="00A936F3" w:rsidRPr="00831D05" w:rsidRDefault="00A936F3" w:rsidP="00A936F3">
            <w:pPr>
              <w:pBdr>
                <w:top w:val="nil"/>
                <w:left w:val="nil"/>
                <w:bottom w:val="nil"/>
                <w:right w:val="nil"/>
                <w:between w:val="nil"/>
              </w:pBdr>
              <w:spacing w:line="240" w:lineRule="auto"/>
              <w:jc w:val="right"/>
            </w:pPr>
            <w:r w:rsidRPr="00831D05">
              <w:t xml:space="preserve">4.6 </w:t>
            </w:r>
            <w:r w:rsidRPr="00831D05">
              <w:fldChar w:fldCharType="begin" w:fldLock="1"/>
            </w:r>
            <w:r>
              <w:instrText>ADDIN CSL_CITATION {"citationItems":[{"id":"ITEM-1","itemData":{"DOI":"10.1016/j.ijantimicag.2014.04.019","ISSN":"09248579","PMID":"24985091","abstract":"Therapeutic drug monitoring (TDM) of tuberculosis (TB) drugs currently focuses on peak plasma concentrations, yet total exposure [area under the 24-h concentration-time curve (AUC</w:instrText>
            </w:r>
            <w:r>
              <w:rPr>
                <w:rFonts w:ascii="Calibri" w:eastAsia="Calibri" w:hAnsi="Calibri" w:cs="Calibri"/>
              </w:rPr>
              <w:instrText>₀₋₂₄</w:instrText>
            </w:r>
            <w:r>
              <w:instrText>)] is probably most relevant to the efficacy of these drugs. We therefore assessed population AUC</w:instrText>
            </w:r>
            <w:r>
              <w:rPr>
                <w:rFonts w:ascii="Calibri" w:eastAsia="Calibri" w:hAnsi="Calibri" w:cs="Calibri"/>
              </w:rPr>
              <w:instrText>₀₋₂₄</w:instrText>
            </w:r>
            <w:r>
              <w:instrText xml:space="preserve"> data for all four first-line TB drugs (rifampicin, isoniazid, pyrazinamide and ethambutol) as well as moxifloxacin and developed limited sampling strategies to estimate AUC</w:instrText>
            </w:r>
            <w:r>
              <w:rPr>
                <w:rFonts w:ascii="Calibri" w:eastAsia="Calibri" w:hAnsi="Calibri" w:cs="Calibri"/>
              </w:rPr>
              <w:instrText>₀₋₂₄</w:instrText>
            </w:r>
            <w:r>
              <w:instrText xml:space="preserve"> values conveniently. AUC</w:instrText>
            </w:r>
            <w:r>
              <w:rPr>
                <w:rFonts w:ascii="Calibri" w:eastAsia="Calibri" w:hAnsi="Calibri" w:cs="Calibri"/>
              </w:rPr>
              <w:instrText>₀₋₂₄</w:instrText>
            </w:r>
            <w:r>
              <w:instrText xml:space="preserve"> and other pharmacokinetic (PK) parameters were determined following intensive PK sampling in two Dutch TB referral centres. Best subset selection multiple linear regression was performed to derive limited sampling equations. Median percentage prediction error and median absolute percentage prediction error were calculated via jackknife analysis to evaluate bias and imprecision of the predictions. Geometric mean AUC</w:instrText>
            </w:r>
            <w:r>
              <w:rPr>
                <w:rFonts w:ascii="Calibri" w:eastAsia="Calibri" w:hAnsi="Calibri" w:cs="Calibri"/>
              </w:rPr>
              <w:instrText>₀₋₂₄</w:instrText>
            </w:r>
            <w:r>
              <w:instrText xml:space="preserve"> values for rifampicin, isoniazid, pyrazinamide, ethambutol and moxifloxacin were 41.1, 15.2, 380, 25.5 and 33.6 hmg/L, respectively. Limited sampling at various fixed sampling points enabled an accurate and precise prediction of AUC</w:instrText>
            </w:r>
            <w:r>
              <w:rPr>
                <w:rFonts w:ascii="Calibri" w:eastAsia="Calibri" w:hAnsi="Calibri" w:cs="Calibri"/>
              </w:rPr>
              <w:instrText>₀₋₂₄</w:instrText>
            </w:r>
            <w:r>
              <w:instrText xml:space="preserve"> values of all drugs separately and simultaneously. In the absence of clinically validated target values for AUC</w:instrText>
            </w:r>
            <w:r>
              <w:rPr>
                <w:rFonts w:ascii="Calibri" w:eastAsia="Calibri" w:hAnsi="Calibri" w:cs="Calibri"/>
              </w:rPr>
              <w:instrText>₀₋₂₄</w:instrText>
            </w:r>
            <w:r>
              <w:instrText>, average AUC</w:instrText>
            </w:r>
            <w:r>
              <w:rPr>
                <w:rFonts w:ascii="Calibri" w:eastAsia="Calibri" w:hAnsi="Calibri" w:cs="Calibri"/>
              </w:rPr>
              <w:instrText>₀₋₂₄</w:instrText>
            </w:r>
            <w:r>
              <w:instrText xml:space="preserve"> values can be used as reference values in TDM. Limited sampling of AUC</w:instrText>
            </w:r>
            <w:r>
              <w:rPr>
                <w:rFonts w:ascii="Calibri" w:eastAsia="Calibri" w:hAnsi="Calibri" w:cs="Calibri"/>
              </w:rPr>
              <w:instrText>₀₋₂₄</w:instrText>
            </w:r>
            <w:r>
              <w:instrText xml:space="preserve"> is feasible in many settings and allows for TDM to be performed at a larger scale.","author":[{"dropping-particle":"","family":"Magis-Escurra","given":"C.","non-dropping-particle":"","parse-names":false,"suffix":""},{"dropping-particle":"","family":"Later-Nijland","given":"H.M.J.","non-dropping-particle":"","parse-names":false,"suffix":""},{"dropping-particle":"","family":"Alffenaar","given":"J.W.C.","non-dropping-particle":"","parse-names":false,"suffix":""},{"dropping-particle":"","family":"Broeders","given":"J.","non-dropping-particle":"","parse-names":false,"suffix":""},{"dropping-particle":"","family":"Burger","given":"D.M.","non-dropping-particle":"","parse-names":false,"suffix":""},{"dropping-particle":"","family":"Crevel","given":"R.","non-dropping-particle":"van","parse-names":false,"suffix":""},{"dropping-particle":"","family":"Boeree","given":"M.J.","non-dropping-particle":"","parse-names":false,"suffix":""},{"dropping-particle":"","family":"Donders","given":"A.R.T.","non-dropping-particle":"","parse-names":false,"suffix":""},{"dropping-particle":"","family":"Altena","given":"R.","non-dropping-particle":"van","parse-names":false,"suffix":""},{"dropping-particle":"","family":"Werf","given":"T.S.","non-dropping-particle":"van der","parse-names":false,"suffix":""},{"dropping-particle":"","family":"Aarnoutse","given":"R.E.","non-dropping-particle":"","parse-names":false,"suffix":""}],"container-title":"International Journal of Antimicrobial Agents","id":"ITEM-1","issue":"3","issued":{"date-parts":[["2014","9"]]},"page":"229-234","title":"Population pharmacokinetics and limited sampling strategy for first-line tuberculosis drugs and moxifloxacin","type":"article-journal","volume":"44"},"uris":["http://www.mendeley.com/documents/?uuid=e5a8a7cc-6342-3a63-a3cd-455f60afe9ff"]}],"mendeley":{"formattedCitation":"[5]","plainTextFormattedCitation":"[5]","previouslyFormattedCitation":"[5]"},"properties":{"noteIndex":0},"schema":"https://github.com/citation-style-language/schema/raw/master/csl-citation.json"}</w:instrText>
            </w:r>
            <w:r w:rsidRPr="00831D05">
              <w:fldChar w:fldCharType="separate"/>
            </w:r>
            <w:r w:rsidRPr="00B17ECB">
              <w:rPr>
                <w:noProof/>
              </w:rPr>
              <w:t>[5]</w:t>
            </w:r>
            <w:r w:rsidRPr="00831D05">
              <w:fldChar w:fldCharType="end"/>
            </w:r>
          </w:p>
        </w:tc>
        <w:tc>
          <w:tcPr>
            <w:tcW w:w="5061" w:type="dxa"/>
            <w:tcBorders>
              <w:top w:val="nil"/>
              <w:left w:val="nil"/>
              <w:bottom w:val="single" w:sz="4" w:space="0" w:color="auto"/>
              <w:right w:val="nil"/>
            </w:tcBorders>
          </w:tcPr>
          <w:p w14:paraId="659EEFBE" w14:textId="77777777" w:rsidR="00A936F3" w:rsidRPr="00831D05" w:rsidRDefault="00A936F3" w:rsidP="00A936F3">
            <w:pPr>
              <w:spacing w:line="240" w:lineRule="auto"/>
              <w:jc w:val="left"/>
              <w:rPr>
                <w:rFonts w:eastAsia="Times New Roman"/>
                <w:color w:val="000000"/>
              </w:rPr>
            </w:pPr>
          </w:p>
        </w:tc>
      </w:tr>
      <w:tr w:rsidR="00A936F3" w:rsidRPr="00831D05" w14:paraId="65A7F6EE" w14:textId="77777777" w:rsidTr="00A936F3">
        <w:trPr>
          <w:trHeight w:val="320"/>
        </w:trPr>
        <w:tc>
          <w:tcPr>
            <w:tcW w:w="1300" w:type="dxa"/>
            <w:tcBorders>
              <w:top w:val="single" w:sz="4" w:space="0" w:color="auto"/>
              <w:left w:val="nil"/>
              <w:bottom w:val="nil"/>
              <w:right w:val="nil"/>
            </w:tcBorders>
            <w:shd w:val="clear" w:color="auto" w:fill="auto"/>
            <w:noWrap/>
            <w:hideMark/>
          </w:tcPr>
          <w:p w14:paraId="687EB9AC" w14:textId="77777777" w:rsidR="00A936F3" w:rsidRPr="00896B01" w:rsidRDefault="00A936F3" w:rsidP="00A936F3">
            <w:pPr>
              <w:spacing w:line="240" w:lineRule="auto"/>
              <w:jc w:val="left"/>
              <w:rPr>
                <w:rFonts w:eastAsia="Times New Roman"/>
                <w:color w:val="000000"/>
              </w:rPr>
            </w:pPr>
            <w:r w:rsidRPr="00896B01">
              <w:rPr>
                <w:rFonts w:eastAsia="Times New Roman"/>
                <w:color w:val="000000"/>
              </w:rPr>
              <w:t>MFX</w:t>
            </w:r>
          </w:p>
        </w:tc>
        <w:tc>
          <w:tcPr>
            <w:tcW w:w="1535" w:type="dxa"/>
            <w:tcBorders>
              <w:top w:val="single" w:sz="4" w:space="0" w:color="auto"/>
              <w:left w:val="nil"/>
              <w:bottom w:val="nil"/>
              <w:right w:val="nil"/>
            </w:tcBorders>
          </w:tcPr>
          <w:p w14:paraId="60A5F7F0" w14:textId="77777777" w:rsidR="00A936F3" w:rsidRPr="00896B01" w:rsidRDefault="00A936F3" w:rsidP="00A936F3">
            <w:pPr>
              <w:spacing w:line="240" w:lineRule="auto"/>
              <w:jc w:val="right"/>
              <w:rPr>
                <w:rFonts w:eastAsia="Times New Roman"/>
                <w:color w:val="000000"/>
              </w:rPr>
            </w:pPr>
            <w:r w:rsidRPr="00896B01">
              <w:rPr>
                <w:rFonts w:eastAsia="Times New Roman"/>
                <w:color w:val="000000"/>
              </w:rPr>
              <w:t>8.93</w:t>
            </w:r>
          </w:p>
        </w:tc>
        <w:tc>
          <w:tcPr>
            <w:tcW w:w="1885" w:type="dxa"/>
            <w:tcBorders>
              <w:top w:val="single" w:sz="4" w:space="0" w:color="auto"/>
              <w:left w:val="nil"/>
              <w:bottom w:val="nil"/>
              <w:right w:val="nil"/>
            </w:tcBorders>
            <w:shd w:val="clear" w:color="000000" w:fill="auto"/>
            <w:noWrap/>
            <w:hideMark/>
          </w:tcPr>
          <w:p w14:paraId="5987E56F" w14:textId="25CB8197" w:rsidR="00A936F3" w:rsidRPr="00896B01" w:rsidRDefault="00A936F3" w:rsidP="00A936F3">
            <w:pPr>
              <w:spacing w:line="240" w:lineRule="auto"/>
              <w:jc w:val="right"/>
              <w:rPr>
                <w:rFonts w:eastAsia="Times New Roman"/>
                <w:color w:val="000000"/>
              </w:rPr>
            </w:pPr>
            <w:r w:rsidRPr="00831D05">
              <w:rPr>
                <w:rFonts w:eastAsia="Times New Roman"/>
                <w:color w:val="000000"/>
              </w:rPr>
              <w:t xml:space="preserve">7.9 </w:t>
            </w:r>
            <w:r w:rsidRPr="00831D05">
              <w:rPr>
                <w:rFonts w:eastAsia="Times New Roman"/>
                <w:color w:val="000000"/>
              </w:rPr>
              <w:fldChar w:fldCharType="begin" w:fldLock="1"/>
            </w:r>
            <w:r w:rsidRPr="00831D05">
              <w:rPr>
                <w:rFonts w:eastAsia="Times New Roman"/>
                <w:color w:val="000000"/>
              </w:rPr>
              <w:instrText>ADDIN CSL_CITATION {"citationItems":[{"id":"ITEM-1","itemData":{"DOI":"10.1128/AAC.00554-08","ISSN":"0066-4804","PMID":"18765687","abstract":"Moxifloxacin- and rifapentine-based regimens are under investigation for the treatment of tuberculosis. However, rifapentine may induce enzymes that metabolize moxifloxacin, resulting in decreased moxifloxacin concentrations. In this phase I, two-period, sequential-design study, 13 subjects received 400 mg moxifloxacin daily for 4 days followed by daily moxifloxacin coadministered with 900 mg rifapentine thrice weekly. Pharmacokinetic analyses were performed after the 4th and 19th doses of moxifloxacin and after the 1st and 7th doses of rifapentine. For moxifloxacin, the mean area under the concentration-time curve from 0 to 24 h (AUC(0-24)) decreased by 17.2% (P = 0.0006) when the drug was coadministered with rifapentine, and the mean half-life (t(1/2)) decreased from 11.1 to 8.9 h (P = 0.0033). For rifapentine, the mean AUC(0-48) after seven thrice-weekly doses decreased by 20.3% (P = 0.0035) compared to the AUC(0-48) after the first dose, and the mean t(1/2) decreased from 18.5 to 14.8 h (P = 0.0004). The AUC(0-48) for the 25-desacetyl-rifapentine metabolite diminished 21%. Two days after completing the study drugs, one subject developed a fever and hepatitis, and another developed a flu-like illness with a rash. In conclusion, rifapentine modestly reduced moxifloxacin concentrations. Changes consistent with rifapentine autoinduction of metabolism were seen. Adverse reactions in two subjects may have represented rifamycin hypersensitivity syndrome, although some features were atypical.","author":[{"dropping-particle":"","family":"Dooley","given":"K.","non-dropping-particle":"","parse-names":false,"suffix":""},{"dropping-particle":"","family":"Flexner","given":"C.","non-dropping-particle":"","parse-names":false,"suffix":""},{"dropping-particle":"","family":"Hackman","given":"J.","non-dropping-particle":"","parse-names":false,"suffix":""},{"dropping-particle":"","family":"Peloquin","given":"C. A.","non-dropping-particle":"","parse-names":false,"suffix":""},{"dropping-particle":"","family":"Nuermberger","given":"E.","non-dropping-particle":"","parse-names":false,"suffix":""},{"dropping-particle":"","family":"Chaisson","given":"R. E.","non-dropping-particle":"","parse-names":false,"suffix":""},{"dropping-particle":"","family":"Dorman","given":"S. E.","non-dropping-particle":"","parse-names":false,"suffix":""}],"container-title":"Antimicrobial Agents and Chemotherapy","id":"ITEM-1","issue":"11","issued":{"date-parts":[["2008","11","1"]]},"page":"4037-4042","title":"Repeated Administration of High-Dose Intermittent Rifapentine Reduces Rifapentine and Moxifloxacin Plasma Concentrations","type":"article-journal","volume":"52"},"uris":["http://www.mendeley.com/documents/?uuid=f97063c8-4c2c-3f83-8ac1-9d47eda52802"]}],"mendeley":{"formattedCitation":"[8]","plainTextFormattedCitation":"[8]","previouslyFormattedCitation":"[8]"},"properties":{"noteIndex":0},"schema":"https://github.com/citation-style-language/schema/raw/master/csl-citation.json"}</w:instrText>
            </w:r>
            <w:r w:rsidRPr="00831D05">
              <w:rPr>
                <w:rFonts w:eastAsia="Times New Roman"/>
                <w:color w:val="000000"/>
              </w:rPr>
              <w:fldChar w:fldCharType="separate"/>
            </w:r>
            <w:r w:rsidRPr="00831D05">
              <w:rPr>
                <w:rFonts w:eastAsia="Times New Roman"/>
                <w:noProof/>
                <w:color w:val="000000"/>
              </w:rPr>
              <w:t>[8]</w:t>
            </w:r>
            <w:r w:rsidRPr="00831D05">
              <w:rPr>
                <w:rFonts w:eastAsia="Times New Roman"/>
                <w:color w:val="000000"/>
              </w:rPr>
              <w:fldChar w:fldCharType="end"/>
            </w:r>
          </w:p>
        </w:tc>
        <w:tc>
          <w:tcPr>
            <w:tcW w:w="5061" w:type="dxa"/>
            <w:tcBorders>
              <w:top w:val="single" w:sz="4" w:space="0" w:color="auto"/>
              <w:left w:val="nil"/>
              <w:bottom w:val="nil"/>
              <w:right w:val="nil"/>
            </w:tcBorders>
          </w:tcPr>
          <w:p w14:paraId="47AA2706" w14:textId="07BAD4D2" w:rsidR="00A936F3" w:rsidRPr="00831D05" w:rsidRDefault="00A936F3" w:rsidP="00A936F3">
            <w:pPr>
              <w:spacing w:line="240" w:lineRule="auto"/>
              <w:jc w:val="left"/>
              <w:rPr>
                <w:rFonts w:eastAsia="Times New Roman"/>
                <w:color w:val="000000"/>
              </w:rPr>
            </w:pPr>
          </w:p>
        </w:tc>
      </w:tr>
      <w:tr w:rsidR="00A936F3" w:rsidRPr="00831D05" w14:paraId="0EA95745" w14:textId="77777777" w:rsidTr="00523DBE">
        <w:trPr>
          <w:trHeight w:val="320"/>
        </w:trPr>
        <w:tc>
          <w:tcPr>
            <w:tcW w:w="1300" w:type="dxa"/>
            <w:tcBorders>
              <w:top w:val="nil"/>
              <w:left w:val="nil"/>
              <w:bottom w:val="nil"/>
              <w:right w:val="nil"/>
            </w:tcBorders>
            <w:shd w:val="clear" w:color="auto" w:fill="auto"/>
            <w:noWrap/>
          </w:tcPr>
          <w:p w14:paraId="6D976698" w14:textId="77777777" w:rsidR="00A936F3" w:rsidRPr="00896B01" w:rsidRDefault="00A936F3" w:rsidP="00A936F3">
            <w:pPr>
              <w:spacing w:line="240" w:lineRule="auto"/>
              <w:jc w:val="left"/>
              <w:rPr>
                <w:rFonts w:eastAsia="Times New Roman"/>
                <w:color w:val="000000"/>
              </w:rPr>
            </w:pPr>
          </w:p>
        </w:tc>
        <w:tc>
          <w:tcPr>
            <w:tcW w:w="1535" w:type="dxa"/>
            <w:tcBorders>
              <w:top w:val="nil"/>
              <w:left w:val="nil"/>
              <w:bottom w:val="nil"/>
              <w:right w:val="nil"/>
            </w:tcBorders>
          </w:tcPr>
          <w:p w14:paraId="6447DA24" w14:textId="77777777" w:rsidR="00A936F3" w:rsidRPr="00896B01" w:rsidRDefault="00A936F3" w:rsidP="00A936F3">
            <w:pPr>
              <w:spacing w:line="240" w:lineRule="auto"/>
              <w:jc w:val="right"/>
              <w:rPr>
                <w:rFonts w:eastAsia="Times New Roman"/>
                <w:color w:val="000000"/>
              </w:rPr>
            </w:pPr>
          </w:p>
        </w:tc>
        <w:tc>
          <w:tcPr>
            <w:tcW w:w="1885" w:type="dxa"/>
            <w:tcBorders>
              <w:top w:val="nil"/>
              <w:left w:val="nil"/>
              <w:bottom w:val="nil"/>
              <w:right w:val="nil"/>
            </w:tcBorders>
            <w:shd w:val="clear" w:color="000000" w:fill="auto"/>
            <w:noWrap/>
          </w:tcPr>
          <w:p w14:paraId="338879E9" w14:textId="01B63BDA" w:rsidR="00A936F3" w:rsidRPr="00831D05" w:rsidRDefault="00A936F3" w:rsidP="00A936F3">
            <w:pPr>
              <w:spacing w:line="240" w:lineRule="auto"/>
              <w:jc w:val="right"/>
              <w:rPr>
                <w:rFonts w:eastAsia="Times New Roman"/>
                <w:color w:val="000000"/>
              </w:rPr>
            </w:pPr>
            <w:r w:rsidRPr="00831D05">
              <w:rPr>
                <w:rFonts w:eastAsia="Times New Roman"/>
                <w:color w:val="000000"/>
              </w:rPr>
              <w:t xml:space="preserve">11.3 </w:t>
            </w:r>
            <w:r w:rsidRPr="00831D05">
              <w:rPr>
                <w:rFonts w:eastAsia="Times New Roman"/>
                <w:color w:val="000000"/>
              </w:rPr>
              <w:fldChar w:fldCharType="begin" w:fldLock="1"/>
            </w:r>
            <w:r w:rsidRPr="00831D05">
              <w:rPr>
                <w:rFonts w:eastAsia="Times New Roman"/>
                <w:color w:val="000000"/>
              </w:rPr>
              <w:instrText>ADDIN CSL_CITATION {"citationItems":[{"id":"ITEM-1","itemData":{"DOI":"10.1093/jac/dkt040","ISSN":"0305-7453","author":[{"dropping-particle":"","family":"Kees","given":"M. G.","non-dropping-particle":"","parse-names":false,"suffix":""},{"dropping-particle":"","family":"Schaeftlein","given":"A.","non-dropping-particle":"","parse-names":false,"suffix":""},{"dropping-particle":"","family":"Haeberle","given":"H. A.","non-dropping-particle":"","parse-names":false,"suffix":""},{"dropping-particle":"","family":"Kees","given":"F.","non-dropping-particle":"","parse-names":false,"suffix":""},{"dropping-particle":"","family":"Kloft","given":"C.","non-dropping-particle":"","parse-names":false,"suffix":""},{"dropping-particle":"","family":"Heininger","given":"A.","non-dropping-particle":"","parse-names":false,"suffix":""}],"container-title":"Journal of Antimicrobial Chemotherapy","id":"ITEM-1","issue":"6","issued":{"date-parts":[["2013","6","1"]]},"page":"1331-1337","publisher":"Oxford University Press","title":"Population pharmacokinetics and pharmacodynamic evaluation of intravenous and enteral moxifloxacin in surgical intensive care unit patients","type":"article-journal","volume":"68"},"uris":["http://www.mendeley.com/documents/?uuid=2bc4232e-349d-3c81-bf5a-31bb95f426d0"]}],"mendeley":{"formattedCitation":"[9]","plainTextFormattedCitation":"[9]","previouslyFormattedCitation":"[9]"},"properties":{"noteIndex":0},"schema":"https://github.com/citation-style-language/schema/raw/master/csl-citation.json"}</w:instrText>
            </w:r>
            <w:r w:rsidRPr="00831D05">
              <w:rPr>
                <w:rFonts w:eastAsia="Times New Roman"/>
                <w:color w:val="000000"/>
              </w:rPr>
              <w:fldChar w:fldCharType="separate"/>
            </w:r>
            <w:r w:rsidRPr="00831D05">
              <w:rPr>
                <w:rFonts w:eastAsia="Times New Roman"/>
                <w:noProof/>
                <w:color w:val="000000"/>
              </w:rPr>
              <w:t>[9]</w:t>
            </w:r>
            <w:r w:rsidRPr="00831D05">
              <w:rPr>
                <w:rFonts w:eastAsia="Times New Roman"/>
                <w:color w:val="000000"/>
              </w:rPr>
              <w:fldChar w:fldCharType="end"/>
            </w:r>
          </w:p>
        </w:tc>
        <w:tc>
          <w:tcPr>
            <w:tcW w:w="5061" w:type="dxa"/>
            <w:tcBorders>
              <w:top w:val="nil"/>
              <w:left w:val="nil"/>
              <w:bottom w:val="nil"/>
              <w:right w:val="nil"/>
            </w:tcBorders>
          </w:tcPr>
          <w:p w14:paraId="15B9A987" w14:textId="77777777" w:rsidR="00A936F3" w:rsidRPr="00831D05" w:rsidRDefault="00A936F3" w:rsidP="00A936F3">
            <w:pPr>
              <w:spacing w:line="240" w:lineRule="auto"/>
              <w:jc w:val="left"/>
              <w:rPr>
                <w:rFonts w:eastAsia="Times New Roman"/>
                <w:color w:val="000000"/>
              </w:rPr>
            </w:pPr>
          </w:p>
        </w:tc>
      </w:tr>
      <w:tr w:rsidR="00A936F3" w:rsidRPr="00831D05" w14:paraId="147C49C0" w14:textId="77777777" w:rsidTr="00523DBE">
        <w:trPr>
          <w:trHeight w:val="320"/>
        </w:trPr>
        <w:tc>
          <w:tcPr>
            <w:tcW w:w="1300" w:type="dxa"/>
            <w:tcBorders>
              <w:top w:val="nil"/>
              <w:left w:val="nil"/>
              <w:bottom w:val="nil"/>
              <w:right w:val="nil"/>
            </w:tcBorders>
            <w:shd w:val="clear" w:color="auto" w:fill="auto"/>
            <w:noWrap/>
          </w:tcPr>
          <w:p w14:paraId="270E6E48" w14:textId="77777777" w:rsidR="00A936F3" w:rsidRPr="00896B01" w:rsidRDefault="00A936F3" w:rsidP="00A936F3">
            <w:pPr>
              <w:spacing w:line="240" w:lineRule="auto"/>
              <w:jc w:val="left"/>
              <w:rPr>
                <w:rFonts w:eastAsia="Times New Roman"/>
                <w:color w:val="000000"/>
              </w:rPr>
            </w:pPr>
          </w:p>
        </w:tc>
        <w:tc>
          <w:tcPr>
            <w:tcW w:w="1535" w:type="dxa"/>
            <w:tcBorders>
              <w:top w:val="nil"/>
              <w:left w:val="nil"/>
              <w:bottom w:val="nil"/>
              <w:right w:val="nil"/>
            </w:tcBorders>
          </w:tcPr>
          <w:p w14:paraId="6FA97DF8" w14:textId="77777777" w:rsidR="00A936F3" w:rsidRPr="00896B01" w:rsidRDefault="00A936F3" w:rsidP="00A936F3">
            <w:pPr>
              <w:spacing w:line="240" w:lineRule="auto"/>
              <w:jc w:val="right"/>
              <w:rPr>
                <w:rFonts w:eastAsia="Times New Roman"/>
                <w:color w:val="000000"/>
              </w:rPr>
            </w:pPr>
          </w:p>
        </w:tc>
        <w:tc>
          <w:tcPr>
            <w:tcW w:w="1885" w:type="dxa"/>
            <w:tcBorders>
              <w:top w:val="nil"/>
              <w:left w:val="nil"/>
              <w:bottom w:val="nil"/>
              <w:right w:val="nil"/>
            </w:tcBorders>
            <w:shd w:val="clear" w:color="000000" w:fill="auto"/>
            <w:noWrap/>
          </w:tcPr>
          <w:p w14:paraId="54528DAD" w14:textId="7A0CC288" w:rsidR="00A936F3" w:rsidRPr="00831D05" w:rsidRDefault="00A936F3" w:rsidP="00A936F3">
            <w:pPr>
              <w:spacing w:line="240" w:lineRule="auto"/>
              <w:jc w:val="right"/>
              <w:rPr>
                <w:rFonts w:eastAsia="Times New Roman"/>
                <w:color w:val="000000"/>
              </w:rPr>
            </w:pPr>
            <w:r w:rsidRPr="00831D05">
              <w:rPr>
                <w:rFonts w:eastAsia="Times New Roman"/>
                <w:color w:val="000000"/>
              </w:rPr>
              <w:t xml:space="preserve">11.6 </w:t>
            </w:r>
            <w:r w:rsidRPr="00831D05">
              <w:rPr>
                <w:rFonts w:eastAsia="Times New Roman"/>
                <w:color w:val="000000"/>
              </w:rPr>
              <w:fldChar w:fldCharType="begin" w:fldLock="1"/>
            </w:r>
            <w:r>
              <w:rPr>
                <w:rFonts w:eastAsia="Times New Roman"/>
                <w:color w:val="000000"/>
              </w:rPr>
              <w:instrText>ADDIN CSL_CITATION {"citationItems":[{"id":"ITEM-1","itemData":{"ISSN":"0305-7453","PMID":"10382880","abstract":"The pharmacokinetics of moxifloxacin and its metabolites M1 (sulpho-compound) and M2 (acyl-glucuronide) were characterized in 12 healthy male volunteers in an open, randomized, crossover study. After an overnight fast the volunteers were given a single 400 mg dosage of moxifloxacin either as a tablet or a 1 h infusion with a washout phase of at least 1 week between the two treatments. Multiple plasma, faeces and urine samples were collected for the analysis of moxifloxacin and metabolites using validated HPLC with fluorescence detection. The AUC for both formulations was comparable with bioequivalence criteria fulfilled, with Cmax after oral treatment approximately 31% lower. Following oral administration, absorption was fast with low to medium variability (mean dissolution and absorption time 2.4 h). The absolute bioavailability was 86%. The excretion of moxifloxacin and its metabolites was quantified in a subset of eight subjects. More than 96% of the dose was recovered from urine and faeces after oral dosing, and &gt;98% following i.v. administration of the drug. M1, which is strongly bound to plasma proteins (90%), was mainly eliminated into faeces (approximately 37-38% of the administered dose) and to a minor extent into urine (2.5% of the administered dose) by active tubular secretion. M2 (only 5% bound to plasma protein) was only found in urine, where it amounted to approximately 14% of the dose. Plasma concentrations of the metabolites were much lower than those of the parent compound. Moxifloxacin was well tolerated with few adverse events and no clinically relevant changes in laboratory values.","author":[{"dropping-particle":"","family":"Stass","given":"H","non-dropping-particle":"","parse-names":false,"suffix":""},{"dropping-particle":"","family":"Kubitza","given":"D","non-dropping-particle":"","parse-names":false,"suffix":""}],"container-title":"The Journal of antimicrobial chemotherapy","id":"ITEM-1","issued":{"date-parts":[["1999","5"]]},"page":"83-90","title":"Pharmacokinetics and elimination of moxifloxacin after oral and intravenous administration in man.","type":"article-journal","volume":"43 Suppl B"},"uris":["http://www.mendeley.com/documents/?uuid=614f0de6-004d-3a3d-ac4a-28ab4be399c7"]}],"mendeley":{"formattedCitation":"[10]","plainTextFormattedCitation":"[10]","previouslyFormattedCitation":"[10]"},"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[10]</w:t>
            </w:r>
            <w:r w:rsidRPr="00831D05">
              <w:rPr>
                <w:rFonts w:eastAsia="Times New Roman"/>
                <w:color w:val="000000"/>
              </w:rPr>
              <w:fldChar w:fldCharType="end"/>
            </w:r>
          </w:p>
        </w:tc>
        <w:tc>
          <w:tcPr>
            <w:tcW w:w="5061" w:type="dxa"/>
            <w:tcBorders>
              <w:top w:val="nil"/>
              <w:left w:val="nil"/>
              <w:bottom w:val="nil"/>
              <w:right w:val="nil"/>
            </w:tcBorders>
          </w:tcPr>
          <w:p w14:paraId="7E1205FA" w14:textId="77777777" w:rsidR="00A936F3" w:rsidRPr="00831D05" w:rsidRDefault="00A936F3" w:rsidP="00A936F3">
            <w:pPr>
              <w:spacing w:line="240" w:lineRule="auto"/>
              <w:jc w:val="left"/>
              <w:rPr>
                <w:rFonts w:eastAsia="Times New Roman"/>
                <w:color w:val="000000"/>
              </w:rPr>
            </w:pPr>
          </w:p>
        </w:tc>
      </w:tr>
      <w:tr w:rsidR="00A936F3" w:rsidRPr="00831D05" w14:paraId="2A974C02" w14:textId="77777777" w:rsidTr="00A936F3">
        <w:trPr>
          <w:trHeight w:val="320"/>
        </w:trPr>
        <w:tc>
          <w:tcPr>
            <w:tcW w:w="1300" w:type="dxa"/>
            <w:tcBorders>
              <w:top w:val="nil"/>
              <w:left w:val="nil"/>
              <w:right w:val="nil"/>
            </w:tcBorders>
            <w:shd w:val="clear" w:color="auto" w:fill="auto"/>
            <w:noWrap/>
          </w:tcPr>
          <w:p w14:paraId="02A5471E" w14:textId="77777777" w:rsidR="00A936F3" w:rsidRPr="00896B01" w:rsidRDefault="00A936F3" w:rsidP="00A936F3">
            <w:pPr>
              <w:spacing w:line="240" w:lineRule="auto"/>
              <w:jc w:val="left"/>
              <w:rPr>
                <w:rFonts w:eastAsia="Times New Roman"/>
                <w:color w:val="000000"/>
              </w:rPr>
            </w:pPr>
          </w:p>
        </w:tc>
        <w:tc>
          <w:tcPr>
            <w:tcW w:w="1535" w:type="dxa"/>
            <w:tcBorders>
              <w:top w:val="nil"/>
              <w:left w:val="nil"/>
              <w:right w:val="nil"/>
            </w:tcBorders>
          </w:tcPr>
          <w:p w14:paraId="19A5F37C" w14:textId="77777777" w:rsidR="00A936F3" w:rsidRPr="00896B01" w:rsidRDefault="00A936F3" w:rsidP="00A936F3">
            <w:pPr>
              <w:spacing w:line="240" w:lineRule="auto"/>
              <w:jc w:val="right"/>
              <w:rPr>
                <w:rFonts w:eastAsia="Times New Roman"/>
                <w:color w:val="000000"/>
              </w:rPr>
            </w:pPr>
          </w:p>
        </w:tc>
        <w:tc>
          <w:tcPr>
            <w:tcW w:w="1885" w:type="dxa"/>
            <w:tcBorders>
              <w:top w:val="nil"/>
              <w:left w:val="nil"/>
              <w:right w:val="nil"/>
            </w:tcBorders>
            <w:shd w:val="clear" w:color="000000" w:fill="auto"/>
            <w:noWrap/>
          </w:tcPr>
          <w:p w14:paraId="0E7AAEA0" w14:textId="38550438" w:rsidR="00A936F3" w:rsidRPr="00831D05" w:rsidRDefault="00A936F3" w:rsidP="00A936F3">
            <w:pPr>
              <w:spacing w:line="240" w:lineRule="auto"/>
              <w:jc w:val="right"/>
              <w:rPr>
                <w:rFonts w:eastAsia="Times New Roman"/>
                <w:color w:val="000000"/>
              </w:rPr>
            </w:pPr>
            <w:r w:rsidRPr="00831D05">
              <w:rPr>
                <w:rFonts w:eastAsia="Times New Roman"/>
                <w:color w:val="000000"/>
              </w:rPr>
              <w:t xml:space="preserve">11.9 </w:t>
            </w:r>
            <w:r w:rsidRPr="00831D05">
              <w:rPr>
                <w:rFonts w:eastAsia="Times New Roman"/>
                <w:color w:val="000000"/>
              </w:rPr>
              <w:fldChar w:fldCharType="begin" w:fldLock="1"/>
            </w:r>
            <w:r>
              <w:rPr>
                <w:rFonts w:eastAsia="Times New Roman"/>
                <w:color w:val="000000"/>
              </w:rPr>
              <w:instrText>ADDIN CSL_CITATION {"citationItems":[{"id":"ITEM-1","itemData":{"DOI":"10.1016/j.ijantimicag.2014.04.019","ISSN":"09248579","PMID":"24985091","abstract":"Therapeutic drug monitoring (TDM) of tuberculosis (TB) drugs currently focuses on peak plasma concentrations, yet total exposure [area under the 24-h concentration-time curve (AUC</w:instrText>
            </w:r>
            <w:r>
              <w:rPr>
                <w:rFonts w:ascii="Calibri" w:eastAsia="Calibri" w:hAnsi="Calibri" w:cs="Calibri"/>
                <w:color w:val="000000"/>
              </w:rPr>
              <w:instrText>₀₋₂₄</w:instrText>
            </w:r>
            <w:r>
              <w:rPr>
                <w:rFonts w:eastAsia="Times New Roman"/>
                <w:color w:val="000000"/>
              </w:rPr>
              <w:instrText>)] is probably most relevant to the efficacy of these drugs. We therefore assessed population AUC</w:instrText>
            </w:r>
            <w:r>
              <w:rPr>
                <w:rFonts w:ascii="Calibri" w:eastAsia="Calibri" w:hAnsi="Calibri" w:cs="Calibri"/>
                <w:color w:val="000000"/>
              </w:rPr>
              <w:instrText>₀₋₂₄</w:instrText>
            </w:r>
            <w:r>
              <w:rPr>
                <w:rFonts w:eastAsia="Times New Roman"/>
                <w:color w:val="000000"/>
              </w:rPr>
              <w:instrText xml:space="preserve"> data for all four first-line TB drugs (rifampicin, isoniazid, pyrazinamide and ethambutol) as well as moxifloxacin and developed limited sampling strategies to estimate AUC</w:instrText>
            </w:r>
            <w:r>
              <w:rPr>
                <w:rFonts w:ascii="Calibri" w:eastAsia="Calibri" w:hAnsi="Calibri" w:cs="Calibri"/>
                <w:color w:val="000000"/>
              </w:rPr>
              <w:instrText>₀₋₂₄</w:instrText>
            </w:r>
            <w:r>
              <w:rPr>
                <w:rFonts w:eastAsia="Times New Roman"/>
                <w:color w:val="000000"/>
              </w:rPr>
              <w:instrText xml:space="preserve"> values conveniently. AUC</w:instrText>
            </w:r>
            <w:r>
              <w:rPr>
                <w:rFonts w:ascii="Calibri" w:eastAsia="Calibri" w:hAnsi="Calibri" w:cs="Calibri"/>
                <w:color w:val="000000"/>
              </w:rPr>
              <w:instrText>₀₋₂₄</w:instrText>
            </w:r>
            <w:r>
              <w:rPr>
                <w:rFonts w:eastAsia="Times New Roman"/>
                <w:color w:val="000000"/>
              </w:rPr>
              <w:instrText xml:space="preserve"> and other pharmacokinetic (PK) parameters were determined following intensive PK sampling in two Dutch TB referral centres. Best subset selection multiple linear regression was performed to derive limited sampling equations. Median percentage prediction error and median absolute percentage prediction error were calculated via jackknife analysis to evaluate bias and imprecision of the predictions. Geometric mean AUC</w:instrText>
            </w:r>
            <w:r>
              <w:rPr>
                <w:rFonts w:ascii="Calibri" w:eastAsia="Calibri" w:hAnsi="Calibri" w:cs="Calibri"/>
                <w:color w:val="000000"/>
              </w:rPr>
              <w:instrText>₀₋₂₄</w:instrText>
            </w:r>
            <w:r>
              <w:rPr>
                <w:rFonts w:eastAsia="Times New Roman"/>
                <w:color w:val="000000"/>
              </w:rPr>
              <w:instrText xml:space="preserve"> values for rifampicin, isoniazid, pyrazinamide, ethambutol and moxifloxacin were 41.1, 15.2, 380, 25.5 and 33.6 hmg/L, respectively. Limited sampling at various fixed sampling points enabled an accurate and precise prediction of AUC</w:instrText>
            </w:r>
            <w:r>
              <w:rPr>
                <w:rFonts w:ascii="Calibri" w:eastAsia="Calibri" w:hAnsi="Calibri" w:cs="Calibri"/>
                <w:color w:val="000000"/>
              </w:rPr>
              <w:instrText>₀₋₂₄</w:instrText>
            </w:r>
            <w:r>
              <w:rPr>
                <w:rFonts w:eastAsia="Times New Roman"/>
                <w:color w:val="000000"/>
              </w:rPr>
              <w:instrText xml:space="preserve"> values of all drugs separately and simultaneously. In the absence of clinically validated target values for AUC</w:instrText>
            </w:r>
            <w:r>
              <w:rPr>
                <w:rFonts w:ascii="Calibri" w:eastAsia="Calibri" w:hAnsi="Calibri" w:cs="Calibri"/>
                <w:color w:val="000000"/>
              </w:rPr>
              <w:instrText>₀₋₂₄</w:instrText>
            </w:r>
            <w:r>
              <w:rPr>
                <w:rFonts w:eastAsia="Times New Roman"/>
                <w:color w:val="000000"/>
              </w:rPr>
              <w:instrText>, average AUC</w:instrText>
            </w:r>
            <w:r>
              <w:rPr>
                <w:rFonts w:ascii="Calibri" w:eastAsia="Calibri" w:hAnsi="Calibri" w:cs="Calibri"/>
                <w:color w:val="000000"/>
              </w:rPr>
              <w:instrText>₀₋₂₄</w:instrText>
            </w:r>
            <w:r>
              <w:rPr>
                <w:rFonts w:eastAsia="Times New Roman"/>
                <w:color w:val="000000"/>
              </w:rPr>
              <w:instrText xml:space="preserve"> values can be used as reference values in TDM. Limited sampling of AUC</w:instrText>
            </w:r>
            <w:r>
              <w:rPr>
                <w:rFonts w:ascii="Calibri" w:eastAsia="Calibri" w:hAnsi="Calibri" w:cs="Calibri"/>
                <w:color w:val="000000"/>
              </w:rPr>
              <w:instrText>₀₋₂₄</w:instrText>
            </w:r>
            <w:r>
              <w:rPr>
                <w:rFonts w:eastAsia="Times New Roman"/>
                <w:color w:val="000000"/>
              </w:rPr>
              <w:instrText xml:space="preserve"> is feasible in many settings and allows for TDM to be performed at a larger scale.","author":[{"dropping-particle":"","family":"Magis-Escurra","given":"C.","non-dropping-particle":"","parse-names":false,"suffix":""},{"dropping-particle":"","family":"Later-Nijland","given":"H.M.J.","non-dropping-particle":"","parse-names":false,"suffix":""},{"dropping-particle":"","family":"Alffenaar","given":"J.W.C.","non-dropping-particle":"","parse-names":false,"suffix":""},{"dropping-particle":"","family":"Broeders","given":"J.","non-dropping-particle":"","parse-names":false,"suffix":""},{"dropping-particle":"","family":"Burger","given":"D.M.","non-dropping-particle":"","parse-names":false,"suffix":""},{"dropping-particle":"","family":"Crevel","given":"R.","non-dropping-particle":"van","parse-names":false,"suffix":""},{"dropping-particle":"","family":"Boeree","given":"M.J.","non-dropping-particle":"","parse-names":false,"suffix":""},{"dropping-particle":"","family":"Donders","given":"A.R.T.","non-dropping-particle":"","parse-names":false,"suffix":""},{"dropping-particle":"","family":"Altena","given":"R.","non-dropping-particle":"van","parse-names":false,"suffix":""},{"dropping-particle":"","family":"Werf","given":"T.S.","non-dropping-particle":"van der","parse-names":false,"suffix":""},{"dropping-particle":"","family":"Aarnoutse","given":"R.E.","non-dropping-particle":"","parse-names":false,"suffix":""}],"container-title":"International Journal of Antimicrobial Agents","id":"ITEM-1","issue":"3","issued":{"date-parts":[["2014","9"]]},"page":"229-234","title":"Population pharmacokinetics and limited sampling strategy for first-line tuberculosis drugs and moxifloxacin","type":"article-journal","volume":"44"},"uris":["http://www.mendeley.com/documents/?uuid=e5a8a7cc-6342-3a63-a3cd-455f60afe9ff"]}],"mendeley":{"formattedCitation":"[5]","plainTextFormattedCitation":"[5]","previouslyFormattedCitation":"[5]"},"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[5]</w:t>
            </w:r>
            <w:r w:rsidRPr="00831D05">
              <w:rPr>
                <w:rFonts w:eastAsia="Times New Roman"/>
                <w:color w:val="000000"/>
              </w:rPr>
              <w:fldChar w:fldCharType="end"/>
            </w:r>
          </w:p>
        </w:tc>
        <w:tc>
          <w:tcPr>
            <w:tcW w:w="5061" w:type="dxa"/>
            <w:tcBorders>
              <w:top w:val="nil"/>
              <w:left w:val="nil"/>
              <w:right w:val="nil"/>
            </w:tcBorders>
          </w:tcPr>
          <w:p w14:paraId="1389DAB0" w14:textId="77777777" w:rsidR="00A936F3" w:rsidRPr="00831D05" w:rsidRDefault="00A936F3" w:rsidP="00A936F3">
            <w:pPr>
              <w:spacing w:line="240" w:lineRule="auto"/>
              <w:jc w:val="left"/>
              <w:rPr>
                <w:rFonts w:eastAsia="Times New Roman"/>
                <w:color w:val="000000"/>
              </w:rPr>
            </w:pPr>
          </w:p>
        </w:tc>
      </w:tr>
      <w:tr w:rsidR="00A936F3" w:rsidRPr="00831D05" w14:paraId="4123A6A7" w14:textId="77777777" w:rsidTr="001F08A8">
        <w:trPr>
          <w:trHeight w:val="320"/>
        </w:trPr>
        <w:tc>
          <w:tcPr>
            <w:tcW w:w="1300" w:type="dxa"/>
            <w:tcBorders>
              <w:top w:val="nil"/>
              <w:left w:val="nil"/>
              <w:bottom w:val="single" w:sz="4" w:space="0" w:color="auto"/>
              <w:right w:val="nil"/>
            </w:tcBorders>
            <w:shd w:val="clear" w:color="auto" w:fill="auto"/>
            <w:noWrap/>
          </w:tcPr>
          <w:p w14:paraId="43CE7346" w14:textId="77777777" w:rsidR="00A936F3" w:rsidRPr="00896B01" w:rsidRDefault="00A936F3" w:rsidP="00A936F3">
            <w:pPr>
              <w:spacing w:line="240" w:lineRule="auto"/>
              <w:jc w:val="left"/>
              <w:rPr>
                <w:rFonts w:eastAsia="Times New Roman"/>
                <w:color w:val="000000"/>
              </w:rPr>
            </w:pPr>
          </w:p>
        </w:tc>
        <w:tc>
          <w:tcPr>
            <w:tcW w:w="1535" w:type="dxa"/>
            <w:tcBorders>
              <w:top w:val="nil"/>
              <w:left w:val="nil"/>
              <w:bottom w:val="single" w:sz="4" w:space="0" w:color="auto"/>
              <w:right w:val="nil"/>
            </w:tcBorders>
          </w:tcPr>
          <w:p w14:paraId="622910DB" w14:textId="77777777" w:rsidR="00A936F3" w:rsidRPr="00896B01" w:rsidRDefault="00A936F3" w:rsidP="00A936F3">
            <w:pPr>
              <w:spacing w:line="240" w:lineRule="auto"/>
              <w:jc w:val="right"/>
              <w:rPr>
                <w:rFonts w:eastAsia="Times New Roman"/>
                <w:color w:val="000000"/>
              </w:rPr>
            </w:pPr>
          </w:p>
        </w:tc>
        <w:tc>
          <w:tcPr>
            <w:tcW w:w="1885" w:type="dxa"/>
            <w:tcBorders>
              <w:top w:val="nil"/>
              <w:left w:val="nil"/>
              <w:bottom w:val="single" w:sz="4" w:space="0" w:color="auto"/>
              <w:right w:val="nil"/>
            </w:tcBorders>
            <w:shd w:val="clear" w:color="000000" w:fill="auto"/>
            <w:noWrap/>
          </w:tcPr>
          <w:p w14:paraId="5C7885E3" w14:textId="4B8823F2" w:rsidR="00A936F3" w:rsidRPr="00831D05" w:rsidRDefault="00A936F3" w:rsidP="00A936F3">
            <w:pPr>
              <w:spacing w:line="240" w:lineRule="auto"/>
              <w:jc w:val="right"/>
              <w:rPr>
                <w:rFonts w:eastAsia="Times New Roman"/>
                <w:color w:val="000000"/>
              </w:rPr>
            </w:pPr>
            <w:r w:rsidRPr="00831D05">
              <w:rPr>
                <w:rFonts w:eastAsia="Times New Roman"/>
                <w:color w:val="000000"/>
              </w:rPr>
              <w:t xml:space="preserve">12.9 </w:t>
            </w:r>
            <w:r w:rsidRPr="00831D05">
              <w:rPr>
                <w:rFonts w:eastAsia="Times New Roman"/>
                <w:color w:val="000000"/>
              </w:rPr>
              <w:fldChar w:fldCharType="begin" w:fldLock="1"/>
            </w:r>
            <w:r>
              <w:rPr>
                <w:rFonts w:eastAsia="Times New Roman"/>
                <w:color w:val="000000"/>
              </w:rPr>
              <w:instrText>ADDIN CSL_CITATION {"citationItems":[{"id":"ITEM-1","itemData":{"DOI":"10.1016/j.jiac.2014.06.001","ISSN":"1341321X","PMID":"25000831","abstract":"OBJECTIVE The purpose of this study was to explore the population pharmacokinetic features of moxifloxacin in infected patients. METHOD A total of 37 Chinese adult infected patients were treated with intravenous moxifloxacin (400 mg/day). In total, 67 plasma samples of moxifloxacin were collected immediately after intravenous dripping and before administration on the 3rd, 4th or 5th day. A nonlinear mixed effect model was used to model the population pharmacokinetic (PK) behavior of moxifloxacin. The final population pharmacokinetic models were validated using the bootstrap method. Some covariates, including demographic characteristics and hematological and biological indicators, were analyzed. RESULTS A structural model was developed based on a one-compartment model with intravenous infusion and first-order elimination. The typical population values of moxifloxacin for the pharmacokinetic parameters of apparent clearance (CL) and apparent distribution volume (V) were 12.9 L/h and 115 L, respectively. The inter-individual variabilities of CL and V were 36% and 28%, respectively. The covariates of WT influenced the CL and V values determined by the final model. CONCLUSION The present study developed population pharmacokinetic models for moxifloxacin in infected Chinese patients. The results detailed here could provide a reference for individualized moxifloxacin therapy in the clinical setting.","author":[{"dropping-particle":"","family":"Zhu","given":"Liqin","non-dropping-particle":"","parse-names":false,"suffix":""},{"dropping-particle":"","family":"Wang","given":"Nan","non-dropping-particle":"","parse-names":false,"suffix":""},{"dropping-particle":"","family":"Yang","given":"Wenjie","non-dropping-particle":"","parse-names":false,"suffix":""},{"dropping-particle":"","family":"Zhang","given":"Yuan","non-dropping-particle":"","parse-names":false,"suffix":""},{"dropping-particle":"","family":"Zhao","given":"Xuequn","non-dropping-particle":"","parse-names":false,"suffix":""},{"dropping-particle":"","family":"Ji","given":"Shuangmin","non-dropping-particle":"","parse-names":false,"suffix":""}],"container-title":"Journal of Infection and Chemotherapy","id":"ITEM-1","issue":"10","issued":{"date-parts":[["2014","10"]]},"page":"621-626","title":"Population pharmacokinetics of intravenous moxifloxacin 400 mg once-daily dosage in infected patients","type":"article-journal","volume":"20"},"uris":["http://www.mendeley.com/documents/?uuid=37620c24-0489-3271-8386-2547f055ec0c"]}],"mendeley":{"formattedCitation":"[11]","plainTextFormattedCitation":"[11]","previouslyFormattedCitation":"[11]"},"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[11]</w:t>
            </w:r>
            <w:r w:rsidRPr="00831D05">
              <w:rPr>
                <w:rFonts w:eastAsia="Times New Roman"/>
                <w:color w:val="000000"/>
              </w:rPr>
              <w:fldChar w:fldCharType="end"/>
            </w:r>
          </w:p>
        </w:tc>
        <w:tc>
          <w:tcPr>
            <w:tcW w:w="5061" w:type="dxa"/>
            <w:tcBorders>
              <w:top w:val="nil"/>
              <w:left w:val="nil"/>
              <w:bottom w:val="single" w:sz="4" w:space="0" w:color="auto"/>
              <w:right w:val="nil"/>
            </w:tcBorders>
          </w:tcPr>
          <w:p w14:paraId="16B537A0" w14:textId="25833C48" w:rsidR="00A936F3" w:rsidRPr="00831D05" w:rsidRDefault="00A936F3" w:rsidP="00A936F3">
            <w:pPr>
              <w:spacing w:line="240" w:lineRule="auto"/>
              <w:jc w:val="left"/>
              <w:rPr>
                <w:rFonts w:eastAsia="Times New Roman"/>
                <w:color w:val="000000"/>
              </w:rPr>
            </w:pPr>
            <w:r w:rsidRPr="00831D05">
              <w:rPr>
                <w:rFonts w:eastAsia="Times New Roman"/>
                <w:color w:val="000000"/>
              </w:rPr>
              <w:t>intravenous dosing</w:t>
            </w:r>
          </w:p>
        </w:tc>
      </w:tr>
      <w:tr w:rsidR="00A936F3" w:rsidRPr="00831D05" w14:paraId="0FAF240A" w14:textId="77777777" w:rsidTr="001F08A8">
        <w:trPr>
          <w:trHeight w:val="320"/>
        </w:trPr>
        <w:tc>
          <w:tcPr>
            <w:tcW w:w="1300" w:type="dxa"/>
            <w:tcBorders>
              <w:top w:val="single" w:sz="4" w:space="0" w:color="auto"/>
              <w:left w:val="nil"/>
              <w:bottom w:val="nil"/>
              <w:right w:val="nil"/>
            </w:tcBorders>
            <w:shd w:val="clear" w:color="auto" w:fill="auto"/>
            <w:noWrap/>
            <w:hideMark/>
          </w:tcPr>
          <w:p w14:paraId="77B8FBEC" w14:textId="77777777" w:rsidR="00A936F3" w:rsidRPr="00896B01" w:rsidRDefault="00A936F3" w:rsidP="00A936F3">
            <w:pPr>
              <w:spacing w:line="240" w:lineRule="auto"/>
              <w:jc w:val="left"/>
              <w:rPr>
                <w:rFonts w:eastAsia="Times New Roman"/>
                <w:color w:val="000000"/>
              </w:rPr>
            </w:pPr>
            <w:r w:rsidRPr="00896B01">
              <w:rPr>
                <w:rFonts w:eastAsia="Times New Roman"/>
                <w:color w:val="000000"/>
              </w:rPr>
              <w:t>CFZ</w:t>
            </w:r>
          </w:p>
        </w:tc>
        <w:tc>
          <w:tcPr>
            <w:tcW w:w="1535" w:type="dxa"/>
            <w:tcBorders>
              <w:top w:val="single" w:sz="4" w:space="0" w:color="auto"/>
              <w:left w:val="nil"/>
              <w:bottom w:val="nil"/>
              <w:right w:val="nil"/>
            </w:tcBorders>
          </w:tcPr>
          <w:p w14:paraId="0EA5896B" w14:textId="77777777" w:rsidR="00A936F3" w:rsidRPr="00896B01" w:rsidRDefault="00A936F3" w:rsidP="00A936F3">
            <w:pPr>
              <w:spacing w:line="240" w:lineRule="auto"/>
              <w:jc w:val="right"/>
              <w:rPr>
                <w:rFonts w:eastAsia="Times New Roman"/>
                <w:color w:val="000000"/>
              </w:rPr>
            </w:pPr>
            <w:r w:rsidRPr="00896B01">
              <w:rPr>
                <w:rFonts w:eastAsia="Times New Roman"/>
                <w:color w:val="000000"/>
              </w:rPr>
              <w:t>16.3</w:t>
            </w:r>
          </w:p>
        </w:tc>
        <w:tc>
          <w:tcPr>
            <w:tcW w:w="1885" w:type="dxa"/>
            <w:tcBorders>
              <w:top w:val="single" w:sz="4" w:space="0" w:color="auto"/>
              <w:left w:val="nil"/>
              <w:bottom w:val="nil"/>
              <w:right w:val="nil"/>
            </w:tcBorders>
            <w:shd w:val="clear" w:color="000000" w:fill="auto"/>
            <w:noWrap/>
            <w:hideMark/>
          </w:tcPr>
          <w:p w14:paraId="26FFF474" w14:textId="75788671" w:rsidR="00A936F3" w:rsidRPr="00896B01" w:rsidRDefault="00A936F3" w:rsidP="00A936F3">
            <w:pPr>
              <w:spacing w:line="240" w:lineRule="auto"/>
              <w:jc w:val="right"/>
              <w:rPr>
                <w:rFonts w:eastAsia="Times New Roman"/>
                <w:color w:val="000000"/>
              </w:rPr>
            </w:pPr>
            <w:r w:rsidRPr="00831D05">
              <w:rPr>
                <w:rFonts w:eastAsia="Times New Roman"/>
                <w:color w:val="000000"/>
              </w:rPr>
              <w:t xml:space="preserve">4.18 </w:t>
            </w:r>
            <w:r w:rsidRPr="00831D05">
              <w:rPr>
                <w:rFonts w:eastAsia="Times New Roman"/>
                <w:color w:val="000000"/>
              </w:rPr>
              <w:fldChar w:fldCharType="begin" w:fldLock="1"/>
            </w:r>
            <w:r>
              <w:rPr>
                <w:rFonts w:eastAsia="Times New Roman"/>
                <w:color w:val="000000"/>
              </w:rPr>
              <w:instrText>ADDIN CSL_CITATION {"citationItems":[{"id":"ITEM-1","itemData":{"DOI":"10.1124/dmd.117.077834","ISSN":"0090-9556","PMID":"29038231","abstract":"The 2016 World Health Organization treatment recommendations for drug-resistant tuberculosis (DR-TB) positioned clofazimine as a core second-line drug. Being identified as a cytochrome P450 (P450) inhibitor in vitro, a P450-mediated drug interaction may be likely when clofazimine is coadministered with substrates of these enzymes. The P450-mediated drug interaction potential of clofazimine was evaluated using both static [estimation of the R1 and area under the plasma concentration-time curve ratio (AUCR) values] and dynamic [physiologically based pharmacokinetics (PBPK)] modeling approaches. For static and dynamic predictions, midazolam, repaglinide, and desipramine were used as probe substrates for CYP3A4/5, CYP2C8, and CYP2D6, respectively. The AUCR static model estimations for clofazimine with the substrates midazolam, repaglinide, and desipramine were 5.59, 1.34, and 1.69, respectively. The fold increases in the area under the curve (AUC) predicted for midazolam, repaglinide, and desipramine with clofazimine (based on PBPK modeling) were 2.69, 1.60, and 1.47, respectively. Clofazimine was predicted to be a moderate-to-strong CYP3A4/5 inhibitor and weak CYP2C8 and CYP2D6 inhibitor based on the calculated AUCR by static and PBPK modeling. Additionally, for selected antiretroviral, antitubercular, antihypertensive, antidiabetic, antileprotics, and antihyperlipidemic CYP3A4/5 substrate drugs, approximately 2- to 6-fold increases in the AUC were predicted with static modeling when coadministered with 100 mg of clofazimine. Therefore, the possibility of an increase in the AUC of CYP3A4/5 substrates when coadministered with clofazimine cannot be ignored.","author":[{"dropping-particle":"","family":"Sangana","given":"Ramachandra","non-dropping-particle":"","parse-names":false,"suffix":""},{"dropping-particle":"","family":"Gu","given":"Helen","non-dropping-particle":"","parse-names":false,"suffix":""},{"dropping-particle":"","family":"Chun","given":"Dung Yu","non-dropping-particle":"","parse-names":false,"suffix":""},{"dropping-particle":"","family":"Einolf","given":"Heidi J.","non-dropping-particle":"","parse-names":false,"suffix":""}],"container-title":"Drug Metabolism and Disposition","id":"ITEM-1","issue":"1","issued":{"date-parts":[["2018","1"]]},"page":"26-32","title":"Evaluation of Clinical Drug Interaction Potential of Clofazimine Using Static and Dynamic Modeling Approaches","type":"article-journal","volume":"46"},"uris":["http://www.mendeley.com/documents/?uuid=f95058ce-ae0f-394a-8b48-074d21961e6e"]}],"mendeley":{"formattedCitation":"[12]","plainTextFormattedCitation":"[12]","previouslyFormattedCitation":"[12]"},"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[12]</w:t>
            </w:r>
            <w:r w:rsidRPr="00831D05">
              <w:rPr>
                <w:rFonts w:eastAsia="Times New Roman"/>
                <w:color w:val="000000"/>
              </w:rPr>
              <w:fldChar w:fldCharType="end"/>
            </w:r>
          </w:p>
        </w:tc>
        <w:tc>
          <w:tcPr>
            <w:tcW w:w="5061" w:type="dxa"/>
            <w:tcBorders>
              <w:top w:val="single" w:sz="4" w:space="0" w:color="auto"/>
              <w:left w:val="nil"/>
              <w:bottom w:val="nil"/>
              <w:right w:val="nil"/>
            </w:tcBorders>
          </w:tcPr>
          <w:p w14:paraId="4451C2E8" w14:textId="77777777" w:rsidR="00A936F3" w:rsidRPr="00831D05" w:rsidRDefault="00A936F3" w:rsidP="00A936F3">
            <w:pPr>
              <w:spacing w:line="240" w:lineRule="auto"/>
              <w:jc w:val="right"/>
              <w:rPr>
                <w:rFonts w:eastAsia="Times New Roman"/>
                <w:color w:val="000000"/>
              </w:rPr>
            </w:pPr>
          </w:p>
        </w:tc>
      </w:tr>
      <w:tr w:rsidR="00A936F3" w:rsidRPr="00831D05" w14:paraId="6BFB8500" w14:textId="77777777" w:rsidTr="001F08A8">
        <w:trPr>
          <w:trHeight w:val="320"/>
        </w:trPr>
        <w:tc>
          <w:tcPr>
            <w:tcW w:w="1300" w:type="dxa"/>
            <w:tcBorders>
              <w:left w:val="nil"/>
              <w:bottom w:val="single" w:sz="4" w:space="0" w:color="auto"/>
              <w:right w:val="nil"/>
            </w:tcBorders>
            <w:shd w:val="clear" w:color="auto" w:fill="auto"/>
            <w:noWrap/>
          </w:tcPr>
          <w:p w14:paraId="0DE35FCE" w14:textId="77777777" w:rsidR="00A936F3" w:rsidRPr="00896B01" w:rsidRDefault="00A936F3" w:rsidP="00A936F3">
            <w:pPr>
              <w:spacing w:line="240" w:lineRule="auto"/>
              <w:jc w:val="left"/>
              <w:rPr>
                <w:rFonts w:eastAsia="Times New Roman"/>
                <w:color w:val="000000"/>
              </w:rPr>
            </w:pPr>
          </w:p>
        </w:tc>
        <w:tc>
          <w:tcPr>
            <w:tcW w:w="1535" w:type="dxa"/>
            <w:tcBorders>
              <w:left w:val="nil"/>
              <w:bottom w:val="single" w:sz="4" w:space="0" w:color="auto"/>
              <w:right w:val="nil"/>
            </w:tcBorders>
          </w:tcPr>
          <w:p w14:paraId="66DF269E" w14:textId="77777777" w:rsidR="00A936F3" w:rsidRPr="00896B01" w:rsidRDefault="00A936F3" w:rsidP="00A936F3">
            <w:pPr>
              <w:spacing w:line="240" w:lineRule="auto"/>
              <w:jc w:val="right"/>
              <w:rPr>
                <w:rFonts w:eastAsia="Times New Roman"/>
                <w:color w:val="000000"/>
              </w:rPr>
            </w:pPr>
          </w:p>
        </w:tc>
        <w:tc>
          <w:tcPr>
            <w:tcW w:w="1885" w:type="dxa"/>
            <w:tcBorders>
              <w:left w:val="nil"/>
              <w:bottom w:val="single" w:sz="4" w:space="0" w:color="auto"/>
              <w:right w:val="nil"/>
            </w:tcBorders>
            <w:shd w:val="clear" w:color="000000" w:fill="auto"/>
            <w:noWrap/>
          </w:tcPr>
          <w:p w14:paraId="19D971DD" w14:textId="00CC5BE0" w:rsidR="00A936F3" w:rsidRPr="00831D05" w:rsidRDefault="00A936F3" w:rsidP="00A936F3">
            <w:pPr>
              <w:spacing w:line="240" w:lineRule="auto"/>
              <w:jc w:val="right"/>
              <w:rPr>
                <w:rFonts w:eastAsia="Times New Roman"/>
                <w:color w:val="000000"/>
              </w:rPr>
            </w:pPr>
            <w:r w:rsidRPr="00831D05">
              <w:rPr>
                <w:rFonts w:eastAsia="Times New Roman"/>
                <w:color w:val="000000"/>
              </w:rPr>
              <w:t>76.7</w:t>
            </w:r>
            <w:r w:rsidRPr="00896B01">
              <w:rPr>
                <w:rFonts w:eastAsia="Times New Roman"/>
                <w:color w:val="000000"/>
              </w:rPr>
              <w:t> </w:t>
            </w:r>
            <w:r w:rsidRPr="00831D05">
              <w:rPr>
                <w:rFonts w:eastAsia="Times New Roman"/>
                <w:color w:val="000000"/>
              </w:rPr>
              <w:t xml:space="preserve"> </w:t>
            </w:r>
            <w:r w:rsidRPr="00831D05">
              <w:rPr>
                <w:rFonts w:eastAsia="Times New Roman"/>
                <w:color w:val="000000"/>
              </w:rPr>
              <w:fldChar w:fldCharType="begin" w:fldLock="1"/>
            </w:r>
            <w:r>
              <w:rPr>
                <w:rFonts w:eastAsia="Times New Roman"/>
                <w:color w:val="000000"/>
              </w:rPr>
              <w:instrText>ADDIN CSL_CITATION {"citationItems":[{"id":"ITEM-1","itemData":{"DOI":"10.1016/J.TUBE.2004.04.001","ISSN":"1472-9792","abstract":"Background: Clofazimine is potentially useful for the treatment of disease due to multidrug resistant Mycobacterium tuberculosis, as well as leprosy and certain chronic skin diseases. Its pharmacokinetics have been incompletely characterized. This study was conducted to explore issues relating to bioavailability in the presence of food, orange juice, and antacid. Methods: A 5 drug regimen consisting of clofazimine, cycloserine, ethionamide, para-aminosalicyclic acid, and pyridoxime was administered to healthy subjects four times using a four period cross-over design with two weeks washout between treatments. Subjects also received orange juice, a high fat meal, aluminum/magnesium antacid, or only water in random order with the drug regimen. The pharmacokinetics of clofazimine were assessed using individual- and population-based methods and relative bioavailability compared to fasting administration was determined. Results: Clofazimine exhibited a sometimes prolonged and variable lag-time and considerable variability in plasma concentrations. From the population analysis (one-compartment model), the mean oral clearance was 76.7l/h (CV=74.2%) and mean apparent volume of distribution was 1470l (CV=36.3%). The first-order absorption rate constant ranged from 0.716 to 1.33h−1 (pooled CV=61.7%). Residual (proportional) error was 49.1%. Estimates of bioavailability compared to fasting administration were 145% (90% CI, 107–183%) for administration with high fat food, 82.0% (63.2–101%) for administration with orange juice, and 78.5% (55.1–102%) for administration with antacid. Conclusion: Administration of clofazimine with a high fat meal provides the greatest bioavailability, however, bioavailability is associated with high inter- and intra-subject variability. Both orange juice and aluminum-magnesium antacid produced a reduction in mean bioavailability of clofazimine.","author":[{"dropping-particle":"","family":"Nix","given":"David E.","non-dropping-particle":"","parse-names":false,"suffix":""},{"dropping-particle":"","family":"Adam","given":"Rodney D.","non-dropping-particle":"","parse-names":false,"suffix":""},{"dropping-particle":"","family":"Auclair","given":"Barbara","non-dropping-particle":"","parse-names":false,"suffix":""},{"dropping-particle":"","family":"Krueger","given":"Todd S.","non-dropping-particle":"","parse-names":false,"suffix":""},{"dropping-particle":"","family":"Godo","given":"Paul G.","non-dropping-particle":"","parse-names":false,"suffix":""},{"dropping-particle":"","family":"Peloquin","given":"Charles A.","non-dropping-particle":"","parse-names":false,"suffix":""}],"container-title":"Tuberculosis","id":"ITEM-1","issue":"6","issued":{"date-parts":[["2004","1","1"]]},"page":"365-373","publisher":"Churchill Livingstone","title":"Pharmacokinetics and relative bioavailability of clofazimine in relation to food, orange juice and antacid","type":"article-journal","volume":"84"},"uris":["http://www.mendeley.com/documents/?uuid=c90b22da-85cb-33d2-8159-3c3b8d7e1827"]}],"mendeley":{"formattedCitation":"[13]","plainTextFormattedCitation":"[13]","previouslyFormattedCitation":"[13]"},"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[13]</w:t>
            </w:r>
            <w:r w:rsidRPr="00831D05">
              <w:rPr>
                <w:rFonts w:eastAsia="Times New Roman"/>
                <w:color w:val="000000"/>
              </w:rPr>
              <w:fldChar w:fldCharType="end"/>
            </w:r>
          </w:p>
        </w:tc>
        <w:tc>
          <w:tcPr>
            <w:tcW w:w="5061" w:type="dxa"/>
            <w:tcBorders>
              <w:left w:val="nil"/>
              <w:bottom w:val="single" w:sz="4" w:space="0" w:color="auto"/>
              <w:right w:val="nil"/>
            </w:tcBorders>
          </w:tcPr>
          <w:p w14:paraId="45F1E56E" w14:textId="77777777" w:rsidR="00A936F3" w:rsidRPr="00831D05" w:rsidRDefault="00A936F3" w:rsidP="00A936F3">
            <w:pPr>
              <w:spacing w:line="240" w:lineRule="auto"/>
              <w:jc w:val="right"/>
              <w:rPr>
                <w:rFonts w:eastAsia="Times New Roman"/>
                <w:color w:val="000000"/>
              </w:rPr>
            </w:pPr>
          </w:p>
        </w:tc>
      </w:tr>
      <w:tr w:rsidR="00A936F3" w:rsidRPr="00831D05" w14:paraId="33C1B2D5" w14:textId="77777777" w:rsidTr="001F08A8">
        <w:trPr>
          <w:trHeight w:val="320"/>
        </w:trPr>
        <w:tc>
          <w:tcPr>
            <w:tcW w:w="1300" w:type="dxa"/>
            <w:tcBorders>
              <w:top w:val="single" w:sz="4" w:space="0" w:color="auto"/>
              <w:left w:val="nil"/>
              <w:bottom w:val="single" w:sz="4" w:space="0" w:color="auto"/>
              <w:right w:val="nil"/>
            </w:tcBorders>
            <w:shd w:val="clear" w:color="auto" w:fill="auto"/>
            <w:noWrap/>
            <w:hideMark/>
          </w:tcPr>
          <w:p w14:paraId="4D063A5F" w14:textId="77777777" w:rsidR="00A936F3" w:rsidRPr="00896B01" w:rsidRDefault="00A936F3" w:rsidP="00A936F3">
            <w:pPr>
              <w:spacing w:line="240" w:lineRule="auto"/>
              <w:jc w:val="left"/>
              <w:rPr>
                <w:rFonts w:eastAsia="Times New Roman"/>
                <w:color w:val="000000"/>
              </w:rPr>
            </w:pPr>
            <w:r w:rsidRPr="00896B01">
              <w:rPr>
                <w:rFonts w:eastAsia="Times New Roman"/>
                <w:color w:val="000000"/>
              </w:rPr>
              <w:t>KAN</w:t>
            </w:r>
          </w:p>
        </w:tc>
        <w:tc>
          <w:tcPr>
            <w:tcW w:w="1535" w:type="dxa"/>
            <w:tcBorders>
              <w:top w:val="single" w:sz="4" w:space="0" w:color="auto"/>
              <w:left w:val="nil"/>
              <w:bottom w:val="single" w:sz="4" w:space="0" w:color="auto"/>
              <w:right w:val="nil"/>
            </w:tcBorders>
          </w:tcPr>
          <w:p w14:paraId="02FA24D5" w14:textId="77777777" w:rsidR="00A936F3" w:rsidRPr="00896B01" w:rsidRDefault="00A936F3" w:rsidP="00A936F3">
            <w:pPr>
              <w:spacing w:line="240" w:lineRule="auto"/>
              <w:jc w:val="right"/>
              <w:rPr>
                <w:rFonts w:eastAsia="Times New Roman"/>
                <w:color w:val="000000"/>
              </w:rPr>
            </w:pPr>
            <w:r w:rsidRPr="00896B01">
              <w:rPr>
                <w:rFonts w:eastAsia="Times New Roman"/>
                <w:color w:val="000000"/>
              </w:rPr>
              <w:t>4.61</w:t>
            </w:r>
          </w:p>
        </w:tc>
        <w:tc>
          <w:tcPr>
            <w:tcW w:w="1885" w:type="dxa"/>
            <w:tcBorders>
              <w:top w:val="single" w:sz="4" w:space="0" w:color="auto"/>
              <w:left w:val="nil"/>
              <w:bottom w:val="single" w:sz="4" w:space="0" w:color="auto"/>
              <w:right w:val="nil"/>
            </w:tcBorders>
            <w:shd w:val="clear" w:color="000000" w:fill="auto"/>
            <w:noWrap/>
            <w:hideMark/>
          </w:tcPr>
          <w:p w14:paraId="5163BC72" w14:textId="4ADAC6FB" w:rsidR="00A936F3" w:rsidRPr="00896B01" w:rsidRDefault="00A936F3" w:rsidP="001F08A8">
            <w:pPr>
              <w:spacing w:line="240" w:lineRule="auto"/>
              <w:jc w:val="right"/>
              <w:rPr>
                <w:rFonts w:eastAsia="Times New Roman"/>
                <w:color w:val="000000"/>
              </w:rPr>
            </w:pPr>
            <w:r w:rsidRPr="00831D05">
              <w:rPr>
                <w:rFonts w:eastAsia="Times New Roman"/>
                <w:color w:val="000000"/>
              </w:rPr>
              <w:t xml:space="preserve">3.75 </w:t>
            </w:r>
            <w:r w:rsidRPr="00831D05">
              <w:rPr>
                <w:rFonts w:eastAsia="Times New Roman"/>
                <w:color w:val="000000"/>
              </w:rPr>
              <w:fldChar w:fldCharType="begin" w:fldLock="1"/>
            </w:r>
            <w:r>
              <w:rPr>
                <w:rFonts w:eastAsia="Times New Roman"/>
                <w:color w:val="000000"/>
              </w:rPr>
              <w:instrText>ADDIN CSL_CITATION {"citationItems":[{"id":"ITEM-1","itemData":{"DOI":"10.1016/J.IJANTIMICAG.2017.01.024","ISSN":"0924-8579","abstract":"Control of multi-drug-resistant tuberculosis (MDR-TB) requires extensive, supervised chemotherapy because second-line anti-TB drugs have a narrower therapeutic range than first-line drugs. This study aimed to develop population pharmacokinetic (PK) models for second-line drugs in patients with MDR-TB, evaluate the recommended dosage regimens and, if necessary, suggest new dosage regimens. A prospective, single-centre PK study was performed on second-line anti-TB drugs in patients with MDR-TB. Moxifloxacin, cycloserine, p-aminosalicylic acid (PAS), kanamycin and other second-line drugs were administered to the patients. Plasma concentrations were analysed using ultra-performance liquid chromatography-tandem mass spectrometry (UPLC-MS/MS). Population PK models were developed using non-linear mixed effect modelling (NONMEM, Version 7.30; ICON Development Solutions, Ellicott City, MD, USA). Simulations were performed using the calculated PK parameters. The respective absorption rate constant, apparent clearance and apparent volume of distribution values were as follows: 0.305/h, 9.37 L/h and 56.7 L for moxifloxacin; 0.135/h, 1.38 L/h and 10.5 L for cycloserine; 0.510/h, 30.8 L/h and 79.4 L for PAS; and 1.67/h, 3.75 L/h and 15.2 L for kanamycin. The simulations showed that the following dosage regimens were more likely to be within the recommended concentration ranges than the raw data in this study: 200 mg of moxifloxacin once daily (QD) (patient weight &lt;50 kg) and 400 mg of moxifloxacin QD (patient weight ≥50 kg), 500–750 mg of cycloserine QD, 4.95–6.6 g of PAS twice daily and 750–1000 mg of intramuscular kanamycin QD. These findings indicate that the recommended doses should be revised to improve the clinical outcomes of MDR-TB treatment.","author":[{"dropping-particle":"","family":"Chang","given":"Min Jung","non-dropping-particle":"","parse-names":false,"suffix":""},{"dropping-particle":"","family":"Jin","given":"Byunghak","non-dropping-particle":"","parse-names":false,"suffix":""},{"dropping-particle":"","family":"Chae","given":"Jung-woo","non-dropping-particle":"","parse-names":false,"suffix":""},{"dropping-particle":"","family":"Yun","given":"Hwi-yeol","non-dropping-particle":"","parse-names":false,"suffix":""},{"dropping-particle":"","family":"Kim","given":"Eun Sun","non-dropping-particle":"","parse-names":false,"suffix":""},{"dropping-particle":"","family":"Lee","given":"Yeon Joo","non-dropping-particle":"","parse-names":false,"suffix":""},{"dropping-particle":"","family":"Cho","given":"Young-Jae","non-dropping-particle":"","parse-names":false,"suffix":""},{"dropping-particle":"Il","family":"Yoon","given":"Ho","non-dropping-particle":"","parse-names":false,"suffix":""},{"dropping-particle":"","family":"Lee","given":"Choon-Taek","non-dropping-particle":"","parse-names":false,"suffix":""},{"dropping-particle":"","family":"Park","given":"Kyoung Un","non-dropping-particle":"","parse-names":false,"suffix":""},{"dropping-particle":"","family":"Song","given":"Junghan","non-dropping-particle":"","parse-names":false,"suffix":""},{"dropping-particle":"","family":"Lee","given":"Jae-Ho","non-dropping-particle":"","parse-names":false,"suffix":""},{"dropping-particle":"","family":"Park","given":"Jong Sun","non-dropping-particle":"","parse-names":false,"suffix":""}],"container-title":"International Journal of Antimicrobial Agents","id":"ITEM-1","issue":"6","issued":{"date-parts":[["2017","6","1"]]},"page":"677-687","publisher":"Elsevier","title":"Population pharmacokinetics of moxifloxacin, cycloserine, p-aminosalicylic acid and kanamycin for the treatment of multi-drug-resistant tuberculosis","type":"article-journal","volume":"49"},"uris":["http://www.mendeley.com/documents/?uuid=fd6e6fde-699c-3854-8b6e-0f55ba4324f0"]}],"mendeley":{"formattedCitation":"[14]","plainTextFormattedCitation":"[14]","previouslyFormattedCitation":"[14]"},"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[14]</w:t>
            </w:r>
            <w:r w:rsidRPr="00831D05">
              <w:rPr>
                <w:rFonts w:eastAsia="Times New Roman"/>
                <w:color w:val="000000"/>
              </w:rPr>
              <w:fldChar w:fldCharType="end"/>
            </w:r>
          </w:p>
        </w:tc>
        <w:tc>
          <w:tcPr>
            <w:tcW w:w="5061" w:type="dxa"/>
            <w:tcBorders>
              <w:top w:val="single" w:sz="4" w:space="0" w:color="auto"/>
              <w:left w:val="nil"/>
              <w:bottom w:val="single" w:sz="4" w:space="0" w:color="auto"/>
              <w:right w:val="nil"/>
            </w:tcBorders>
          </w:tcPr>
          <w:p w14:paraId="7A413CAD" w14:textId="77777777" w:rsidR="00A936F3" w:rsidRPr="00831D05" w:rsidRDefault="00A936F3" w:rsidP="00A936F3">
            <w:pPr>
              <w:spacing w:line="240" w:lineRule="auto"/>
              <w:jc w:val="right"/>
              <w:rPr>
                <w:rFonts w:eastAsia="Times New Roman"/>
                <w:color w:val="000000"/>
              </w:rPr>
            </w:pPr>
          </w:p>
        </w:tc>
      </w:tr>
      <w:tr w:rsidR="00A936F3" w:rsidRPr="00831D05" w14:paraId="71699C61" w14:textId="77777777" w:rsidTr="001F08A8">
        <w:trPr>
          <w:trHeight w:val="320"/>
        </w:trPr>
        <w:tc>
          <w:tcPr>
            <w:tcW w:w="1300" w:type="dxa"/>
            <w:tcBorders>
              <w:top w:val="single" w:sz="4" w:space="0" w:color="auto"/>
              <w:left w:val="nil"/>
              <w:bottom w:val="nil"/>
              <w:right w:val="nil"/>
            </w:tcBorders>
            <w:shd w:val="clear" w:color="auto" w:fill="auto"/>
            <w:noWrap/>
            <w:hideMark/>
          </w:tcPr>
          <w:p w14:paraId="28F66421" w14:textId="77777777" w:rsidR="00A936F3" w:rsidRPr="00896B01" w:rsidRDefault="00A936F3" w:rsidP="00A936F3">
            <w:pPr>
              <w:spacing w:line="240" w:lineRule="auto"/>
              <w:jc w:val="left"/>
              <w:rPr>
                <w:rFonts w:eastAsia="Times New Roman"/>
                <w:color w:val="000000"/>
              </w:rPr>
            </w:pPr>
            <w:r w:rsidRPr="00896B01">
              <w:rPr>
                <w:rFonts w:eastAsia="Times New Roman"/>
                <w:color w:val="000000"/>
              </w:rPr>
              <w:t>LZD</w:t>
            </w:r>
            <w:bookmarkStart w:id="0" w:name="_GoBack"/>
            <w:bookmarkEnd w:id="0"/>
          </w:p>
        </w:tc>
        <w:tc>
          <w:tcPr>
            <w:tcW w:w="1535" w:type="dxa"/>
            <w:tcBorders>
              <w:top w:val="single" w:sz="4" w:space="0" w:color="auto"/>
              <w:left w:val="nil"/>
              <w:bottom w:val="nil"/>
              <w:right w:val="nil"/>
            </w:tcBorders>
          </w:tcPr>
          <w:p w14:paraId="0F6C1C29" w14:textId="77777777" w:rsidR="00A936F3" w:rsidRPr="00896B01" w:rsidRDefault="00A936F3" w:rsidP="00A936F3">
            <w:pPr>
              <w:spacing w:line="240" w:lineRule="auto"/>
              <w:jc w:val="right"/>
              <w:rPr>
                <w:rFonts w:eastAsia="Times New Roman"/>
                <w:color w:val="000000"/>
              </w:rPr>
            </w:pPr>
            <w:r w:rsidRPr="00896B01">
              <w:rPr>
                <w:rFonts w:eastAsia="Times New Roman"/>
                <w:color w:val="000000"/>
              </w:rPr>
              <w:t>3.77</w:t>
            </w:r>
          </w:p>
        </w:tc>
        <w:tc>
          <w:tcPr>
            <w:tcW w:w="1885" w:type="dxa"/>
            <w:tcBorders>
              <w:top w:val="single" w:sz="4" w:space="0" w:color="auto"/>
              <w:left w:val="nil"/>
              <w:bottom w:val="nil"/>
              <w:right w:val="nil"/>
            </w:tcBorders>
            <w:shd w:val="clear" w:color="000000" w:fill="auto"/>
            <w:noWrap/>
            <w:hideMark/>
          </w:tcPr>
          <w:p w14:paraId="264820CF" w14:textId="2A6653CC" w:rsidR="00A936F3" w:rsidRPr="00896B01" w:rsidRDefault="00A936F3" w:rsidP="001F08A8">
            <w:pPr>
              <w:spacing w:line="240" w:lineRule="auto"/>
              <w:jc w:val="right"/>
              <w:rPr>
                <w:rFonts w:eastAsia="Times New Roman"/>
                <w:color w:val="000000"/>
              </w:rPr>
            </w:pPr>
            <w:r w:rsidRPr="00831D05">
              <w:rPr>
                <w:rFonts w:eastAsia="Times New Roman"/>
                <w:color w:val="000000"/>
              </w:rPr>
              <w:t xml:space="preserve">3.8 </w:t>
            </w:r>
            <w:r w:rsidRPr="00831D05">
              <w:rPr>
                <w:rFonts w:eastAsia="Times New Roman"/>
                <w:color w:val="000000"/>
              </w:rPr>
              <w:fldChar w:fldCharType="begin" w:fldLock="1"/>
            </w:r>
            <w:r>
              <w:rPr>
                <w:rFonts w:eastAsia="Times New Roman"/>
                <w:color w:val="000000"/>
              </w:rPr>
              <w:instrText>ADDIN CSL_CITATION {"citationItems":[{"id":"ITEM-1","itemData":{"DOI":"10.1093/jac/dkv349","ISSN":"0305-7453","author":[{"dropping-particle":"","family":"Roger","given":"C.","non-dropping-particle":"","parse-names":false,"suffix":""},{"dropping-particle":"","family":"Muller","given":"L.","non-dropping-particle":"","parse-names":false,"suffix":""},{"dropping-particle":"","family":"Wallis","given":"S. C.","non-dropping-particle":"","parse-names":false,"suffix":""},{"dropping-particle":"","family":"Louart","given":"B.","non-dropping-particle":"","parse-names":false,"suffix":""},{"dropping-particle":"","family":"Saissi","given":"G.","non-dropping-particle":"","parse-names":false,"suffix":""},{"dropping-particle":"","family":"Lipman","given":"J.","non-dropping-particle":"","parse-names":false,"suffix":""},{"dropping-particle":"","family":"Lefrant","given":"J. Y.","non-dropping-particle":"","parse-names":false,"suffix":""},{"dropping-particle":"","family":"Roberts","given":"J. A.","non-dropping-particle":"","parse-names":false,"suffix":""}],"container-title":"Journal of Antimicrobial Chemotherapy","id":"ITEM-1","issue":"2","issued":{"date-parts":[["2016","2","1"]]},"page":"464-470","publisher":"Oxford University Press","title":"Population pharmacokinetics of linezolid in critically ill patients on renal replacement therapy: comparison of equal doses in continuous venovenous haemofiltration and continuous venovenous haemodiafiltration","type":"article-journal","volume":"71"},"uris":["http://www.mendeley.com/documents/?uuid=84c1afc6-8529-339b-838c-30c31d80a17b"]}],"mendeley":{"formattedCitation":"[15]","plainTextFormattedCitation":"[15]","previouslyFormattedCitation":"[15]"},"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[15]</w:t>
            </w:r>
            <w:r w:rsidRPr="00831D05">
              <w:rPr>
                <w:rFonts w:eastAsia="Times New Roman"/>
                <w:color w:val="000000"/>
              </w:rPr>
              <w:fldChar w:fldCharType="end"/>
            </w:r>
          </w:p>
        </w:tc>
        <w:tc>
          <w:tcPr>
            <w:tcW w:w="5061" w:type="dxa"/>
            <w:tcBorders>
              <w:top w:val="single" w:sz="4" w:space="0" w:color="auto"/>
              <w:left w:val="nil"/>
              <w:bottom w:val="nil"/>
              <w:right w:val="nil"/>
            </w:tcBorders>
          </w:tcPr>
          <w:p w14:paraId="265A4DDB" w14:textId="77777777" w:rsidR="00A936F3" w:rsidRPr="00831D05" w:rsidRDefault="00A936F3" w:rsidP="00A936F3">
            <w:pPr>
              <w:spacing w:line="240" w:lineRule="auto"/>
              <w:jc w:val="right"/>
              <w:rPr>
                <w:rFonts w:eastAsia="Times New Roman"/>
                <w:color w:val="000000"/>
              </w:rPr>
            </w:pPr>
          </w:p>
        </w:tc>
      </w:tr>
      <w:tr w:rsidR="001F08A8" w:rsidRPr="00831D05" w14:paraId="0AEA6B50" w14:textId="77777777" w:rsidTr="00523DBE">
        <w:trPr>
          <w:trHeight w:val="320"/>
        </w:trPr>
        <w:tc>
          <w:tcPr>
            <w:tcW w:w="1300" w:type="dxa"/>
            <w:tcBorders>
              <w:top w:val="nil"/>
              <w:left w:val="nil"/>
              <w:bottom w:val="nil"/>
              <w:right w:val="nil"/>
            </w:tcBorders>
            <w:shd w:val="clear" w:color="auto" w:fill="auto"/>
            <w:noWrap/>
          </w:tcPr>
          <w:p w14:paraId="61E0481B" w14:textId="77777777" w:rsidR="001F08A8" w:rsidRPr="00896B01" w:rsidRDefault="001F08A8" w:rsidP="00A936F3">
            <w:pPr>
              <w:spacing w:line="240" w:lineRule="auto"/>
              <w:jc w:val="left"/>
              <w:rPr>
                <w:rFonts w:eastAsia="Times New Roman"/>
                <w:color w:val="000000"/>
              </w:rPr>
            </w:pPr>
          </w:p>
        </w:tc>
        <w:tc>
          <w:tcPr>
            <w:tcW w:w="1535" w:type="dxa"/>
            <w:tcBorders>
              <w:top w:val="nil"/>
              <w:left w:val="nil"/>
              <w:bottom w:val="nil"/>
              <w:right w:val="nil"/>
            </w:tcBorders>
          </w:tcPr>
          <w:p w14:paraId="743B1DC1" w14:textId="77777777" w:rsidR="001F08A8" w:rsidRPr="00896B01" w:rsidRDefault="001F08A8" w:rsidP="00A936F3">
            <w:pPr>
              <w:spacing w:line="240" w:lineRule="auto"/>
              <w:jc w:val="right"/>
              <w:rPr>
                <w:rFonts w:eastAsia="Times New Roman"/>
                <w:color w:val="000000"/>
              </w:rPr>
            </w:pPr>
          </w:p>
        </w:tc>
        <w:tc>
          <w:tcPr>
            <w:tcW w:w="1885" w:type="dxa"/>
            <w:tcBorders>
              <w:top w:val="nil"/>
              <w:left w:val="nil"/>
              <w:bottom w:val="nil"/>
              <w:right w:val="nil"/>
            </w:tcBorders>
            <w:shd w:val="clear" w:color="000000" w:fill="auto"/>
            <w:noWrap/>
          </w:tcPr>
          <w:p w14:paraId="1AF16F2D" w14:textId="71906F3B" w:rsidR="001F08A8" w:rsidRPr="00831D05" w:rsidRDefault="001F08A8" w:rsidP="001F08A8">
            <w:pPr>
              <w:spacing w:line="240" w:lineRule="auto"/>
              <w:jc w:val="right"/>
              <w:rPr>
                <w:rFonts w:eastAsia="Times New Roman"/>
                <w:color w:val="000000"/>
              </w:rPr>
            </w:pPr>
            <w:r w:rsidRPr="00831D05">
              <w:rPr>
                <w:rFonts w:eastAsia="Times New Roman"/>
                <w:color w:val="000000"/>
              </w:rPr>
              <w:t xml:space="preserve">4.8 </w:t>
            </w:r>
            <w:r w:rsidRPr="00831D05">
              <w:rPr>
                <w:rFonts w:eastAsia="Times New Roman"/>
                <w:color w:val="000000"/>
              </w:rPr>
              <w:fldChar w:fldCharType="begin" w:fldLock="1"/>
            </w:r>
            <w:r>
              <w:rPr>
                <w:rFonts w:eastAsia="Times New Roman"/>
                <w:color w:val="000000"/>
              </w:rPr>
              <w:instrText>ADDIN CSL_CITATION {"citationItems":[{"id":"ITEM-1","itemData":{"DOI":"10.1093/jac/dkr072","ISSN":"0305-7453","author":[{"dropping-particle":"","family":"Dryden","given":"M. S.","non-dropping-particle":"","parse-names":false,"suffix":""}],"container-title":"Journal of Antimicrobial Chemotherapy","id":"ITEM-1","issue":"Supplement 4","issued":{"date-parts":[["2011","5","1"]]},"page":"iv7-iv15","publisher":"Oxford University Press","title":"Linezolid pharmacokinetics and pharmacodynamics in clinical treatment","type":"article-journal","volume":"66"},"uris":["http://www.mendeley.com/documents/?uuid=d2998075-248f-3795-a3b8-259bec4a0695"]}],"mendeley":{"formattedCitation":"[16]","plainTextFormattedCitation":"[16]","previouslyFormattedCitation":"[16]"},"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[16]</w:t>
            </w:r>
            <w:r w:rsidRPr="00831D05">
              <w:rPr>
                <w:rFonts w:eastAsia="Times New Roman"/>
                <w:color w:val="000000"/>
              </w:rPr>
              <w:fldChar w:fldCharType="end"/>
            </w:r>
          </w:p>
        </w:tc>
        <w:tc>
          <w:tcPr>
            <w:tcW w:w="5061" w:type="dxa"/>
            <w:tcBorders>
              <w:top w:val="nil"/>
              <w:left w:val="nil"/>
              <w:bottom w:val="nil"/>
              <w:right w:val="nil"/>
            </w:tcBorders>
          </w:tcPr>
          <w:p w14:paraId="3B42C0C7" w14:textId="77777777" w:rsidR="001F08A8" w:rsidRPr="00831D05" w:rsidRDefault="001F08A8" w:rsidP="00A936F3">
            <w:pPr>
              <w:spacing w:line="240" w:lineRule="auto"/>
              <w:jc w:val="right"/>
              <w:rPr>
                <w:rFonts w:eastAsia="Times New Roman"/>
                <w:color w:val="000000"/>
              </w:rPr>
            </w:pPr>
          </w:p>
        </w:tc>
      </w:tr>
      <w:tr w:rsidR="001F08A8" w:rsidRPr="00831D05" w14:paraId="21CDA1C6" w14:textId="77777777" w:rsidTr="001F08A8">
        <w:trPr>
          <w:trHeight w:val="320"/>
        </w:trPr>
        <w:tc>
          <w:tcPr>
            <w:tcW w:w="1300" w:type="dxa"/>
            <w:tcBorders>
              <w:top w:val="nil"/>
              <w:left w:val="nil"/>
              <w:bottom w:val="single" w:sz="4" w:space="0" w:color="auto"/>
              <w:right w:val="nil"/>
            </w:tcBorders>
            <w:shd w:val="clear" w:color="auto" w:fill="auto"/>
            <w:noWrap/>
          </w:tcPr>
          <w:p w14:paraId="40899608" w14:textId="77777777" w:rsidR="001F08A8" w:rsidRPr="00896B01" w:rsidRDefault="001F08A8" w:rsidP="00A936F3">
            <w:pPr>
              <w:spacing w:line="240" w:lineRule="auto"/>
              <w:jc w:val="left"/>
              <w:rPr>
                <w:rFonts w:eastAsia="Times New Roman"/>
                <w:color w:val="000000"/>
              </w:rPr>
            </w:pPr>
          </w:p>
        </w:tc>
        <w:tc>
          <w:tcPr>
            <w:tcW w:w="1535" w:type="dxa"/>
            <w:tcBorders>
              <w:top w:val="nil"/>
              <w:left w:val="nil"/>
              <w:bottom w:val="single" w:sz="4" w:space="0" w:color="auto"/>
              <w:right w:val="nil"/>
            </w:tcBorders>
          </w:tcPr>
          <w:p w14:paraId="794D880B" w14:textId="77777777" w:rsidR="001F08A8" w:rsidRPr="00896B01" w:rsidRDefault="001F08A8" w:rsidP="00A936F3">
            <w:pPr>
              <w:spacing w:line="240" w:lineRule="auto"/>
              <w:jc w:val="right"/>
              <w:rPr>
                <w:rFonts w:eastAsia="Times New Roman"/>
                <w:color w:val="000000"/>
              </w:rPr>
            </w:pPr>
          </w:p>
        </w:tc>
        <w:tc>
          <w:tcPr>
            <w:tcW w:w="1885" w:type="dxa"/>
            <w:tcBorders>
              <w:top w:val="nil"/>
              <w:left w:val="nil"/>
              <w:bottom w:val="single" w:sz="4" w:space="0" w:color="auto"/>
              <w:right w:val="nil"/>
            </w:tcBorders>
            <w:shd w:val="clear" w:color="000000" w:fill="auto"/>
            <w:noWrap/>
          </w:tcPr>
          <w:p w14:paraId="2E6917B7" w14:textId="7AD3E62E" w:rsidR="001F08A8" w:rsidRPr="00831D05" w:rsidRDefault="001F08A8" w:rsidP="00A936F3">
            <w:pPr>
              <w:spacing w:line="240" w:lineRule="auto"/>
              <w:jc w:val="right"/>
              <w:rPr>
                <w:rFonts w:eastAsia="Times New Roman"/>
                <w:color w:val="000000"/>
              </w:rPr>
            </w:pPr>
            <w:r w:rsidRPr="00831D05">
              <w:rPr>
                <w:rFonts w:eastAsia="Times New Roman"/>
                <w:color w:val="000000"/>
              </w:rPr>
              <w:t xml:space="preserve">5.86 </w:t>
            </w:r>
            <w:r w:rsidRPr="00831D05">
              <w:rPr>
                <w:rFonts w:eastAsia="Times New Roman"/>
                <w:color w:val="000000"/>
              </w:rPr>
              <w:fldChar w:fldCharType="begin" w:fldLock="1"/>
            </w:r>
            <w:r>
              <w:rPr>
                <w:rFonts w:eastAsia="Times New Roman"/>
                <w:color w:val="000000"/>
              </w:rPr>
              <w:instrText>ADDIN CSL_CITATION {"citationItems":[{"id":"ITEM-1","itemData":{"DOI":"10.1128/AAC.47.2.548-553.2003","ISSN":"0066-4804","PMID":"12543657","abstract":"Data obtained from 318 adult patients treated under the linezolid compassionate-use protocol were used to develop a population model of the pharmacokinetics of intravenous and oral linezolid. All of the patients received 600 mg of linezolid every 12 h, intravenously and/or orally. Blood samples (2 to 10 per patient; median, 4) were obtained and assayed for linezolid by high-performance liquid chromatography. These data and patient covariates were modeled by iterative two-stage analysis, and model discrimination was done by Akaike's information criterion. Of the patient covariates considered (age, sex, ideal body weight, baseline serum albumin, hepatic or renal dysfunction, underlying malignancy, organ transplantation, surgical status, global severity of illness, site of infection, route of administration, and location of care [intensive-care unit, general floor, or outpatient]), only normalized creatinine clearance (CL(CR)) and body weight explained significant portions of the variance and were incorporated into the pharmacokinetic model. The final model included central and peripheral compartments with parallel capacity-limited (nonrenal) and first-order (renal [CL(R)]) clearances. Volumes and clearances were normalized to the ideal body weight, and CL(R) was modeled as proportional to CL(CR). Compared to previously studied adult volunteers, intrinsic clearance was approximately 60% higher and the maximum rate of metabolism was twice as high in these debilitated patients, resulting in lower area under the time-concentration curve (AUC) values (P &lt; 0.001). The derived 24-h AUC, averaged over the first 7 days of treatment, ranged between 57 and 871 (median, 191) micro g/ml. 24 h. Despite these variations, linezolid provided high rates of clinical cure, as well as microbiological success, in the patients treated in the compassionate-use program. The mechanism(s) of these pharmacokinetic differences is unknown and requires further mechanistic study.","author":[{"dropping-particle":"","family":"Meagher","given":"Alison K","non-dropping-particle":"","parse-names":false,"suffix":""},{"dropping-particle":"","family":"Forrest","given":"Alan","non-dropping-particle":"","parse-names":false,"suffix":""},{"dropping-particle":"","family":"Rayner","given":"Craig R","non-dropping-particle":"","parse-names":false,"suffix":""},{"dropping-particle":"","family":"Birmingham","given":"Mary C","non-dropping-particle":"","parse-names":false,"suffix":""},{"dropping-particle":"","family":"Schentag","given":"Jerome J","non-dropping-particle":"","parse-names":false,"suffix":""}],"container-title":"Antimicrobial agents and chemotherapy","id":"ITEM-1","issue":"2","issued":{"date-parts":[["2003","2","1"]]},"page":"548-53","publisher":"American Society for Microbiology Journals","title":"Population pharmacokinetics of linezolid in patients treated in a compassionate-use program.","type":"article-journal","volume":"47"},"uris":["http://www.mendeley.com/documents/?uuid=9154e3dc-6b6b-3896-ba9b-9905f7cf85c8"]}],"mendeley":{"formattedCitation":"[17]","plainTextFormattedCitation":"[17]","previouslyFormattedCitation":"[17]"},"properties":{"noteIndex":0},"schema":"https://github.com/citation-style-language/schema/raw/master/csl-citation.json"}</w:instrText>
            </w:r>
            <w:r w:rsidRPr="00831D05">
              <w:rPr>
                <w:rFonts w:eastAsia="Times New Roman"/>
                <w:color w:val="000000"/>
              </w:rPr>
              <w:fldChar w:fldCharType="separate"/>
            </w:r>
            <w:r w:rsidRPr="00B17ECB">
              <w:rPr>
                <w:rFonts w:eastAsia="Times New Roman"/>
                <w:noProof/>
                <w:color w:val="000000"/>
              </w:rPr>
              <w:t>[17]</w:t>
            </w:r>
            <w:r w:rsidRPr="00831D05">
              <w:rPr>
                <w:rFonts w:eastAsia="Times New Roman"/>
                <w:color w:val="000000"/>
              </w:rPr>
              <w:fldChar w:fldCharType="end"/>
            </w:r>
          </w:p>
        </w:tc>
        <w:tc>
          <w:tcPr>
            <w:tcW w:w="5061" w:type="dxa"/>
            <w:tcBorders>
              <w:top w:val="nil"/>
              <w:left w:val="nil"/>
              <w:bottom w:val="single" w:sz="4" w:space="0" w:color="auto"/>
              <w:right w:val="nil"/>
            </w:tcBorders>
          </w:tcPr>
          <w:p w14:paraId="10BF9BEE" w14:textId="77777777" w:rsidR="001F08A8" w:rsidRPr="00831D05" w:rsidRDefault="001F08A8" w:rsidP="00A936F3">
            <w:pPr>
              <w:spacing w:line="240" w:lineRule="auto"/>
              <w:jc w:val="right"/>
              <w:rPr>
                <w:rFonts w:eastAsia="Times New Roman"/>
                <w:color w:val="000000"/>
              </w:rPr>
            </w:pPr>
          </w:p>
        </w:tc>
      </w:tr>
    </w:tbl>
    <w:p w14:paraId="361297B7" w14:textId="77777777" w:rsidR="005D5212" w:rsidRDefault="005D5212">
      <w:pPr>
        <w:tabs>
          <w:tab w:val="clear" w:pos="851"/>
        </w:tabs>
        <w:spacing w:before="0" w:line="240" w:lineRule="auto"/>
        <w:jc w:val="left"/>
      </w:pPr>
      <w:r>
        <w:br w:type="page"/>
      </w:r>
    </w:p>
    <w:p w14:paraId="63C51511" w14:textId="0B8DE534" w:rsidR="008F5DA4" w:rsidRDefault="008F5DA4" w:rsidP="00FC4B7B">
      <w:pPr>
        <w:spacing w:line="480" w:lineRule="auto"/>
        <w:rPr>
          <w:u w:val="single"/>
        </w:rPr>
      </w:pPr>
      <w:r w:rsidRPr="0034740A">
        <w:rPr>
          <w:u w:val="single"/>
        </w:rPr>
        <w:lastRenderedPageBreak/>
        <w:t>References</w:t>
      </w:r>
    </w:p>
    <w:p w14:paraId="0E2FAE03" w14:textId="5F7F5A1D" w:rsidR="00B17ECB" w:rsidRPr="00B17ECB" w:rsidRDefault="008F5DA4" w:rsidP="00B17ECB">
      <w:pPr>
        <w:widowControl w:val="0"/>
        <w:autoSpaceDE w:val="0"/>
        <w:autoSpaceDN w:val="0"/>
        <w:adjustRightInd w:val="0"/>
        <w:spacing w:line="480" w:lineRule="auto"/>
        <w:ind w:left="640" w:hanging="640"/>
        <w:rPr>
          <w:rFonts w:eastAsia="Times New Roman"/>
          <w:noProof/>
        </w:rPr>
      </w:pPr>
      <w:r>
        <w:rPr>
          <w:b/>
          <w:u w:val="single"/>
        </w:rPr>
        <w:fldChar w:fldCharType="begin" w:fldLock="1"/>
      </w:r>
      <w:r>
        <w:rPr>
          <w:b/>
          <w:u w:val="single"/>
        </w:rPr>
        <w:instrText xml:space="preserve">ADDIN Mendeley Bibliography CSL_BIBLIOGRAPHY </w:instrText>
      </w:r>
      <w:r>
        <w:rPr>
          <w:b/>
          <w:u w:val="single"/>
        </w:rPr>
        <w:fldChar w:fldCharType="separate"/>
      </w:r>
      <w:r w:rsidR="00B17ECB" w:rsidRPr="00B17ECB">
        <w:rPr>
          <w:rFonts w:eastAsia="Times New Roman"/>
          <w:noProof/>
        </w:rPr>
        <w:t xml:space="preserve">1. </w:t>
      </w:r>
      <w:r w:rsidR="00B17ECB" w:rsidRPr="00B17ECB">
        <w:rPr>
          <w:rFonts w:eastAsia="Times New Roman"/>
          <w:noProof/>
        </w:rPr>
        <w:tab/>
        <w:t>Svensson R, Simonsson U. Application of the Multistate Tuberculosis Pharmacometric Model in Patients With Rifampicin-Treated Pulmonary Tuberculosis. CPT Pharmacometrics Syst Pharmacol. John Wiley &amp; Sons, Ltd; 2016;5: 264–273. doi:10.1002/psp4.12079</w:t>
      </w:r>
    </w:p>
    <w:p w14:paraId="56337212"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2. </w:t>
      </w:r>
      <w:r w:rsidRPr="00B17ECB">
        <w:rPr>
          <w:rFonts w:eastAsia="Times New Roman"/>
          <w:noProof/>
        </w:rPr>
        <w:tab/>
        <w:t>Smythe W, Khandelwal A, Merle C, Rustomjee R, Gninafon M, Bocar Lo M, et al. A semimechanistic pharmacokinetic-enzyme turnover model for rifampin autoinduction in adult tuberculosis patients. Antimicrob Agents Chemother. American Society for Microbiology (ASM); 2012;56: 2091–8. doi:10.1128/AAC.05792-11</w:t>
      </w:r>
    </w:p>
    <w:p w14:paraId="0EABF33C"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3. </w:t>
      </w:r>
      <w:r w:rsidRPr="00B17ECB">
        <w:rPr>
          <w:rFonts w:eastAsia="Times New Roman"/>
          <w:noProof/>
        </w:rPr>
        <w:tab/>
        <w:t>Peloquin CA, Jaresko GS, Yong CL, Keung AC, Bulpitt AE, Jelliffe RW. Population pharmacokinetic modeling of isoniazid, rifampin, and pyrazinamide. Antimicrob Agents Chemother. American Society for Microbiology Journals; 1997;41: 2670–9. doi:10.1128/AAC.41.12.2670</w:t>
      </w:r>
    </w:p>
    <w:p w14:paraId="759EFE57"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4. </w:t>
      </w:r>
      <w:r w:rsidRPr="00B17ECB">
        <w:rPr>
          <w:rFonts w:eastAsia="Times New Roman"/>
          <w:noProof/>
        </w:rPr>
        <w:tab/>
        <w:t>Tostmann A, Mtabho CM, Semvua HH, van den Boogaard J, Kibiki GS, Boeree MJ, et al. Pharmacokinetics of first-line tuberculosis drugs in Tanzanian patients. Antimicrob Agents Chemother. American Society for Microbiology Journals; 2013;57: 3208–13. doi:10.1128/AAC.02599-12</w:t>
      </w:r>
    </w:p>
    <w:p w14:paraId="6F903CA0"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5. </w:t>
      </w:r>
      <w:r w:rsidRPr="00B17ECB">
        <w:rPr>
          <w:rFonts w:eastAsia="Times New Roman"/>
          <w:noProof/>
        </w:rPr>
        <w:tab/>
        <w:t>Magis-Escurra C, Later-Nijland HMJ, Alffenaar JWC, Broeders J, Burger DM, van Crevel R, et al. Population pharmacokinetics and limited sampling strategy for first-line tuberculosis drugs and moxifloxacin. Int J Antimicrob Agents. 2014;44: 229–234. doi:10.1016/j.ijantimicag.2014.04.019</w:t>
      </w:r>
    </w:p>
    <w:p w14:paraId="0B72AB0F"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6. </w:t>
      </w:r>
      <w:r w:rsidRPr="00B17ECB">
        <w:rPr>
          <w:rFonts w:eastAsia="Times New Roman"/>
          <w:noProof/>
        </w:rPr>
        <w:tab/>
        <w:t>Wilkins JJ, Savic RM, Karlsson MO, Langdon G, McIlleron H, Pillai G, et al. Population pharmacokinetics of rifampin in pulmonary tuberculosis patients, including a semimechanistic model to describe variable absorption. Antimicrob Agents Chemother. American Society for Microbiology (ASM); 2008;52: 2138–48. doi:10.1128/AAC.00461-07</w:t>
      </w:r>
    </w:p>
    <w:p w14:paraId="49190556"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7. </w:t>
      </w:r>
      <w:r w:rsidRPr="00B17ECB">
        <w:rPr>
          <w:rFonts w:eastAsia="Times New Roman"/>
          <w:noProof/>
        </w:rPr>
        <w:tab/>
        <w:t>Wilkins JJ, Langdon G, McIlleron H, Pillai G, Smith PJ, Simonsson USH. Variability in the population pharmacokinetics of isoniazid in South African tuberculosis patients. Br J Clin Pharmacol. 2011;72: 51–62. doi:10.1111/j.1365-2125.2011.03940.x</w:t>
      </w:r>
    </w:p>
    <w:p w14:paraId="5FEE987F"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8. </w:t>
      </w:r>
      <w:r w:rsidRPr="00B17ECB">
        <w:rPr>
          <w:rFonts w:eastAsia="Times New Roman"/>
          <w:noProof/>
        </w:rPr>
        <w:tab/>
        <w:t xml:space="preserve">Dooley K, Flexner C, Hackman J, Peloquin CA, Nuermberger E, Chaisson RE, et al. Repeated </w:t>
      </w:r>
      <w:r w:rsidRPr="00B17ECB">
        <w:rPr>
          <w:rFonts w:eastAsia="Times New Roman"/>
          <w:noProof/>
        </w:rPr>
        <w:lastRenderedPageBreak/>
        <w:t>Administration of High-Dose Intermittent Rifapentine Reduces Rifapentine and Moxifloxacin Plasma Concentrations. Antimicrob Agents Chemother. 2008;52: 4037–4042. doi:10.1128/AAC.00554-08</w:t>
      </w:r>
    </w:p>
    <w:p w14:paraId="5F5D1B53"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9. </w:t>
      </w:r>
      <w:r w:rsidRPr="00B17ECB">
        <w:rPr>
          <w:rFonts w:eastAsia="Times New Roman"/>
          <w:noProof/>
        </w:rPr>
        <w:tab/>
        <w:t>Kees MG, Schaeftlein A, Haeberle HA, Kees F, Kloft C, Heininger A. Population pharmacokinetics and pharmacodynamic evaluation of intravenous and enteral moxifloxacin in surgical intensive care unit patients. J Antimicrob Chemother. Oxford University Press; 2013;68: 1331–1337. doi:10.1093/jac/dkt040</w:t>
      </w:r>
    </w:p>
    <w:p w14:paraId="11EE1B2B"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10. </w:t>
      </w:r>
      <w:r w:rsidRPr="00B17ECB">
        <w:rPr>
          <w:rFonts w:eastAsia="Times New Roman"/>
          <w:noProof/>
        </w:rPr>
        <w:tab/>
        <w:t>Stass H, Kubitza D. Pharmacokinetics and elimination of moxifloxacin after oral and intravenous administration in man. J Antimicrob Chemother. 1999;43 Suppl B: 83–90. Available: http://www.ncbi.nlm.nih.gov/pubmed/10382880</w:t>
      </w:r>
    </w:p>
    <w:p w14:paraId="7694F631"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11. </w:t>
      </w:r>
      <w:r w:rsidRPr="00B17ECB">
        <w:rPr>
          <w:rFonts w:eastAsia="Times New Roman"/>
          <w:noProof/>
        </w:rPr>
        <w:tab/>
        <w:t>Zhu L, Wang N, Yang W, Zhang Y, Zhao X, Ji S. Population pharmacokinetics of intravenous moxifloxacin 400 mg once-daily dosage in infected patients. J Infect Chemother. 2014;20: 621–626. doi:10.1016/j.jiac.2014.06.001</w:t>
      </w:r>
    </w:p>
    <w:p w14:paraId="4BB5B122"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12. </w:t>
      </w:r>
      <w:r w:rsidRPr="00B17ECB">
        <w:rPr>
          <w:rFonts w:eastAsia="Times New Roman"/>
          <w:noProof/>
        </w:rPr>
        <w:tab/>
        <w:t>Sangana R, Gu H, Chun DY, Einolf HJ. Evaluation of Clinical Drug Interaction Potential of Clofazimine Using Static and Dynamic Modeling Approaches. Drug Metab Dispos. 2018;46: 26–32. doi:10.1124/dmd.117.077834</w:t>
      </w:r>
    </w:p>
    <w:p w14:paraId="14593E98"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13. </w:t>
      </w:r>
      <w:r w:rsidRPr="00B17ECB">
        <w:rPr>
          <w:rFonts w:eastAsia="Times New Roman"/>
          <w:noProof/>
        </w:rPr>
        <w:tab/>
        <w:t>Nix DE, Adam RD, Auclair B, Krueger TS, Godo PG, Peloquin CA. Pharmacokinetics and relative bioavailability of clofazimine in relation to food, orange juice and antacid. Tuberculosis. Churchill Livingstone; 2004;84: 365–373. doi:10.1016/J.TUBE.2004.04.001</w:t>
      </w:r>
    </w:p>
    <w:p w14:paraId="3EC30D82"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14. </w:t>
      </w:r>
      <w:r w:rsidRPr="00B17ECB">
        <w:rPr>
          <w:rFonts w:eastAsia="Times New Roman"/>
          <w:noProof/>
        </w:rPr>
        <w:tab/>
        <w:t>Chang MJ, Jin B, Chae J, Yun H, Kim ES, Lee YJ, et al. Population pharmacokinetics of moxifloxacin, cycloserine, p-aminosalicylic acid and kanamycin for the treatment of multi-drug-resistant tuberculosis. Int J Antimicrob Agents. Elsevier; 2017;49: 677–687. doi:10.1016/J.IJANTIMICAG.2017.01.024</w:t>
      </w:r>
    </w:p>
    <w:p w14:paraId="5BEA0838"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15. </w:t>
      </w:r>
      <w:r w:rsidRPr="00B17ECB">
        <w:rPr>
          <w:rFonts w:eastAsia="Times New Roman"/>
          <w:noProof/>
        </w:rPr>
        <w:tab/>
        <w:t>Roger C, Muller L, Wallis SC, Louart B, Saissi G, Lipman J, et al. Population pharmacokinetics of linezolid in critically ill patients on renal replacement therapy: comparison of equal doses in continuous venovenous haemofiltration and continuous venovenous haemodiafiltration. J Antimicrob Chemother. Oxford University Press; 2016;71: 464–470. doi:10.1093/jac/dkv349</w:t>
      </w:r>
    </w:p>
    <w:p w14:paraId="3C4A3DF0" w14:textId="77777777" w:rsidR="00B17ECB" w:rsidRPr="00B17ECB" w:rsidRDefault="00B17ECB" w:rsidP="00B17ECB">
      <w:pPr>
        <w:widowControl w:val="0"/>
        <w:autoSpaceDE w:val="0"/>
        <w:autoSpaceDN w:val="0"/>
        <w:adjustRightInd w:val="0"/>
        <w:spacing w:line="480" w:lineRule="auto"/>
        <w:ind w:left="640" w:hanging="640"/>
        <w:rPr>
          <w:rFonts w:eastAsia="Times New Roman"/>
          <w:noProof/>
        </w:rPr>
      </w:pPr>
      <w:r w:rsidRPr="00B17ECB">
        <w:rPr>
          <w:rFonts w:eastAsia="Times New Roman"/>
          <w:noProof/>
        </w:rPr>
        <w:t xml:space="preserve">16. </w:t>
      </w:r>
      <w:r w:rsidRPr="00B17ECB">
        <w:rPr>
          <w:rFonts w:eastAsia="Times New Roman"/>
          <w:noProof/>
        </w:rPr>
        <w:tab/>
        <w:t xml:space="preserve">Dryden MS. Linezolid pharmacokinetics and pharmacodynamics in clinical treatment. J Antimicrob </w:t>
      </w:r>
      <w:r w:rsidRPr="00B17ECB">
        <w:rPr>
          <w:rFonts w:eastAsia="Times New Roman"/>
          <w:noProof/>
        </w:rPr>
        <w:lastRenderedPageBreak/>
        <w:t>Chemother. Oxford University Press; 2011;66: iv7-iv15. doi:10.1093/jac/dkr072</w:t>
      </w:r>
    </w:p>
    <w:p w14:paraId="0736E1C1" w14:textId="77777777" w:rsidR="00B17ECB" w:rsidRPr="00B17ECB" w:rsidRDefault="00B17ECB" w:rsidP="00B17ECB">
      <w:pPr>
        <w:widowControl w:val="0"/>
        <w:autoSpaceDE w:val="0"/>
        <w:autoSpaceDN w:val="0"/>
        <w:adjustRightInd w:val="0"/>
        <w:spacing w:line="480" w:lineRule="auto"/>
        <w:ind w:left="640" w:hanging="640"/>
        <w:rPr>
          <w:noProof/>
        </w:rPr>
      </w:pPr>
      <w:r w:rsidRPr="00B17ECB">
        <w:rPr>
          <w:rFonts w:eastAsia="Times New Roman"/>
          <w:noProof/>
        </w:rPr>
        <w:t xml:space="preserve">17. </w:t>
      </w:r>
      <w:r w:rsidRPr="00B17ECB">
        <w:rPr>
          <w:rFonts w:eastAsia="Times New Roman"/>
          <w:noProof/>
        </w:rPr>
        <w:tab/>
        <w:t>Meagher AK, Forrest A, Rayner CR, Birmingham MC, Schentag JJ. Population pharmacokinetics of linezolid in patients treated in a compassionate-use program. Antimicrob Agents Chemother. American Society for Microbiology Journals; 2003;47: 548–53. doi:10.1128/AAC.47.2.548-553.2003</w:t>
      </w:r>
    </w:p>
    <w:p w14:paraId="4C8D02BE" w14:textId="538E86F6" w:rsidR="008F5DA4" w:rsidRPr="0034740A" w:rsidRDefault="008F5DA4" w:rsidP="00B17ECB">
      <w:pPr>
        <w:widowControl w:val="0"/>
        <w:autoSpaceDE w:val="0"/>
        <w:autoSpaceDN w:val="0"/>
        <w:adjustRightInd w:val="0"/>
        <w:spacing w:line="480" w:lineRule="auto"/>
        <w:ind w:left="640" w:hanging="640"/>
        <w:rPr>
          <w:b/>
          <w:u w:val="single"/>
        </w:rPr>
      </w:pPr>
      <w:r>
        <w:rPr>
          <w:b/>
          <w:u w:val="single"/>
        </w:rPr>
        <w:fldChar w:fldCharType="end"/>
      </w:r>
    </w:p>
    <w:sectPr w:rsidR="008F5DA4" w:rsidRPr="0034740A" w:rsidSect="00DB16D1">
      <w:pgSz w:w="12240" w:h="15840"/>
      <w:pgMar w:top="720" w:right="720" w:bottom="720" w:left="7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16C9"/>
    <w:multiLevelType w:val="multilevel"/>
    <w:tmpl w:val="0EC2A20C"/>
    <w:lvl w:ilvl="0">
      <w:start w:val="1"/>
      <w:numFmt w:val="decimal"/>
      <w:suff w:val="space"/>
      <w:lvlText w:val="%1"/>
      <w:lvlJc w:val="left"/>
      <w:pPr>
        <w:ind w:left="284" w:hanging="624"/>
      </w:pPr>
      <w:rPr>
        <w:rFonts w:hint="default"/>
      </w:rPr>
    </w:lvl>
    <w:lvl w:ilvl="1">
      <w:start w:val="1"/>
      <w:numFmt w:val="decimal"/>
      <w:suff w:val="space"/>
      <w:lvlText w:val="%1.%2"/>
      <w:lvlJc w:val="left"/>
      <w:pPr>
        <w:ind w:left="0" w:firstLine="0"/>
      </w:pPr>
      <w:rPr>
        <w:rFonts w:hint="default"/>
        <w:vertAlign w:val="baseline"/>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6CAD0840"/>
    <w:multiLevelType w:val="hybridMultilevel"/>
    <w:tmpl w:val="FBFA53E2"/>
    <w:lvl w:ilvl="0" w:tplc="65781C8E">
      <w:start w:val="1"/>
      <w:numFmt w:val="bullet"/>
      <w:pStyle w:val="Bullet"/>
      <w:lvlText w:val=""/>
      <w:lvlJc w:val="left"/>
      <w:pPr>
        <w:ind w:left="720" w:hanging="360"/>
      </w:pPr>
      <w:rPr>
        <w:rFonts w:ascii="Symbol" w:hAnsi="Symbol" w:hint="default"/>
        <w:color w:val="auto"/>
      </w:rPr>
    </w:lvl>
    <w:lvl w:ilvl="1" w:tplc="08090003">
      <w:start w:val="1"/>
      <w:numFmt w:val="bullet"/>
      <w:pStyle w:val="BulletLevel2"/>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pStyle w:val="Heading8"/>
      <w:lvlText w:val="o"/>
      <w:lvlJc w:val="left"/>
      <w:pPr>
        <w:ind w:left="5760" w:hanging="360"/>
      </w:pPr>
      <w:rPr>
        <w:rFonts w:ascii="Courier New" w:hAnsi="Courier New" w:cs="Courier New" w:hint="default"/>
      </w:rPr>
    </w:lvl>
    <w:lvl w:ilvl="8" w:tplc="08090005" w:tentative="1">
      <w:start w:val="1"/>
      <w:numFmt w:val="bullet"/>
      <w:pStyle w:val="Heading9"/>
      <w:lvlText w:val=""/>
      <w:lvlJc w:val="left"/>
      <w:pPr>
        <w:ind w:left="6480" w:hanging="360"/>
      </w:pPr>
      <w:rPr>
        <w:rFonts w:ascii="Wingdings" w:hAnsi="Wingdings" w:hint="default"/>
      </w:rPr>
    </w:lvl>
  </w:abstractNum>
  <w:abstractNum w:abstractNumId="2" w15:restartNumberingAfterBreak="0">
    <w:nsid w:val="75591CF9"/>
    <w:multiLevelType w:val="hybridMultilevel"/>
    <w:tmpl w:val="6548DFFC"/>
    <w:lvl w:ilvl="0" w:tplc="56F218B8">
      <w:start w:val="1"/>
      <w:numFmt w:val="lowerRoman"/>
      <w:pStyle w:val="Listi"/>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6D1"/>
    <w:rsid w:val="00002C19"/>
    <w:rsid w:val="00023A3B"/>
    <w:rsid w:val="00060E8A"/>
    <w:rsid w:val="00067F9B"/>
    <w:rsid w:val="000D4C75"/>
    <w:rsid w:val="001C2152"/>
    <w:rsid w:val="001D46A2"/>
    <w:rsid w:val="001F08A8"/>
    <w:rsid w:val="00294022"/>
    <w:rsid w:val="002A6625"/>
    <w:rsid w:val="002B5160"/>
    <w:rsid w:val="003165CF"/>
    <w:rsid w:val="0034740A"/>
    <w:rsid w:val="0036519E"/>
    <w:rsid w:val="0039669F"/>
    <w:rsid w:val="003A40E5"/>
    <w:rsid w:val="004741C9"/>
    <w:rsid w:val="00486441"/>
    <w:rsid w:val="005D5212"/>
    <w:rsid w:val="00621806"/>
    <w:rsid w:val="00652211"/>
    <w:rsid w:val="00652666"/>
    <w:rsid w:val="006E2AE2"/>
    <w:rsid w:val="006F3C2F"/>
    <w:rsid w:val="007149D4"/>
    <w:rsid w:val="007C0572"/>
    <w:rsid w:val="007E6A3F"/>
    <w:rsid w:val="008207B2"/>
    <w:rsid w:val="00881747"/>
    <w:rsid w:val="00881810"/>
    <w:rsid w:val="008A08D4"/>
    <w:rsid w:val="008A698E"/>
    <w:rsid w:val="008F5DA4"/>
    <w:rsid w:val="009F1A54"/>
    <w:rsid w:val="00A936F3"/>
    <w:rsid w:val="00AE41F7"/>
    <w:rsid w:val="00AE4CCB"/>
    <w:rsid w:val="00B00BB6"/>
    <w:rsid w:val="00B17ECB"/>
    <w:rsid w:val="00B42C1C"/>
    <w:rsid w:val="00B83D72"/>
    <w:rsid w:val="00BF675A"/>
    <w:rsid w:val="00CD7C33"/>
    <w:rsid w:val="00CE2EE1"/>
    <w:rsid w:val="00D06122"/>
    <w:rsid w:val="00DB16D1"/>
    <w:rsid w:val="00DC3177"/>
    <w:rsid w:val="00E74E5C"/>
    <w:rsid w:val="00FC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BB2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16D1"/>
    <w:pPr>
      <w:tabs>
        <w:tab w:val="left" w:pos="851"/>
      </w:tabs>
      <w:spacing w:before="120" w:line="360" w:lineRule="auto"/>
      <w:jc w:val="both"/>
    </w:pPr>
    <w:rPr>
      <w:lang w:eastAsia="en-ZA"/>
    </w:rPr>
  </w:style>
  <w:style w:type="paragraph" w:styleId="Heading1">
    <w:name w:val="heading 1"/>
    <w:basedOn w:val="ListParagraph"/>
    <w:next w:val="Normal"/>
    <w:link w:val="Heading1Char"/>
    <w:autoRedefine/>
    <w:qFormat/>
    <w:rsid w:val="002A6625"/>
    <w:pPr>
      <w:spacing w:line="480" w:lineRule="auto"/>
      <w:ind w:left="360" w:hanging="360"/>
      <w:outlineLvl w:val="0"/>
    </w:pPr>
    <w:rPr>
      <w:b/>
      <w:color w:val="000000" w:themeColor="text1"/>
      <w:sz w:val="28"/>
      <w:szCs w:val="28"/>
    </w:rPr>
  </w:style>
  <w:style w:type="paragraph" w:styleId="Heading2">
    <w:name w:val="heading 2"/>
    <w:basedOn w:val="ListParagraph"/>
    <w:next w:val="Normal"/>
    <w:link w:val="Heading2Char"/>
    <w:autoRedefine/>
    <w:qFormat/>
    <w:rsid w:val="00DB16D1"/>
    <w:pPr>
      <w:ind w:left="360" w:hanging="360"/>
      <w:outlineLvl w:val="1"/>
    </w:pPr>
    <w:rPr>
      <w:rFonts w:cstheme="majorBidi"/>
      <w:b/>
      <w:i/>
    </w:rPr>
  </w:style>
  <w:style w:type="paragraph" w:styleId="Heading3">
    <w:name w:val="heading 3"/>
    <w:basedOn w:val="Heading2"/>
    <w:next w:val="Normal"/>
    <w:link w:val="Heading3Char"/>
    <w:autoRedefine/>
    <w:qFormat/>
    <w:rsid w:val="00DB16D1"/>
    <w:pPr>
      <w:numPr>
        <w:ilvl w:val="2"/>
        <w:numId w:val="9"/>
      </w:numPr>
      <w:tabs>
        <w:tab w:val="left" w:pos="1843"/>
      </w:tabs>
      <w:spacing w:line="240" w:lineRule="atLeast"/>
      <w:outlineLvl w:val="2"/>
    </w:pPr>
    <w:rPr>
      <w:rFonts w:eastAsia="Times New Roman" w:cs="Courier New"/>
      <w:b w:val="0"/>
      <w:iCs/>
      <w:kern w:val="32"/>
      <w:sz w:val="28"/>
      <w:szCs w:val="20"/>
      <w:lang w:eastAsia="en-US"/>
    </w:rPr>
  </w:style>
  <w:style w:type="paragraph" w:styleId="Heading4">
    <w:name w:val="heading 4"/>
    <w:basedOn w:val="Heading3"/>
    <w:next w:val="Normal"/>
    <w:link w:val="Heading4Char"/>
    <w:qFormat/>
    <w:rsid w:val="00DB16D1"/>
    <w:pPr>
      <w:numPr>
        <w:ilvl w:val="3"/>
      </w:numPr>
      <w:spacing w:before="240"/>
      <w:outlineLvl w:val="3"/>
    </w:pPr>
    <w:rPr>
      <w:bCs/>
      <w:i w:val="0"/>
      <w:sz w:val="24"/>
      <w:szCs w:val="28"/>
    </w:rPr>
  </w:style>
  <w:style w:type="paragraph" w:styleId="Heading5">
    <w:name w:val="heading 5"/>
    <w:basedOn w:val="Heading4"/>
    <w:next w:val="Normal"/>
    <w:link w:val="Heading5Char"/>
    <w:qFormat/>
    <w:rsid w:val="00DB16D1"/>
    <w:pPr>
      <w:numPr>
        <w:ilvl w:val="4"/>
      </w:numPr>
      <w:spacing w:after="60"/>
      <w:outlineLvl w:val="4"/>
    </w:pPr>
    <w:rPr>
      <w:bCs w:val="0"/>
      <w:i/>
      <w:iCs w:val="0"/>
      <w:szCs w:val="26"/>
    </w:rPr>
  </w:style>
  <w:style w:type="paragraph" w:styleId="Heading6">
    <w:name w:val="heading 6"/>
    <w:basedOn w:val="Heading5"/>
    <w:next w:val="Normal"/>
    <w:link w:val="Heading6Char"/>
    <w:qFormat/>
    <w:rsid w:val="00DB16D1"/>
    <w:pPr>
      <w:numPr>
        <w:ilvl w:val="5"/>
      </w:numPr>
      <w:outlineLvl w:val="5"/>
    </w:pPr>
    <w:rPr>
      <w:bCs/>
      <w:szCs w:val="22"/>
    </w:rPr>
  </w:style>
  <w:style w:type="paragraph" w:styleId="Heading7">
    <w:name w:val="heading 7"/>
    <w:basedOn w:val="Normal"/>
    <w:next w:val="Normal"/>
    <w:link w:val="Heading7Char"/>
    <w:semiHidden/>
    <w:unhideWhenUsed/>
    <w:qFormat/>
    <w:rsid w:val="00DB16D1"/>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B16D1"/>
    <w:pPr>
      <w:keepNext/>
      <w:keepLines/>
      <w:numPr>
        <w:ilvl w:val="7"/>
        <w:numId w:val="13"/>
      </w:numPr>
      <w:spacing w:before="200"/>
      <w:ind w:left="0" w:firstLine="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B16D1"/>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oNumber">
    <w:name w:val="Heading 1 - No Number"/>
    <w:basedOn w:val="Normal"/>
    <w:next w:val="Normal"/>
    <w:link w:val="Heading1-NoNumberChar"/>
    <w:autoRedefine/>
    <w:qFormat/>
    <w:rsid w:val="00DB16D1"/>
    <w:pPr>
      <w:outlineLvl w:val="0"/>
    </w:pPr>
    <w:rPr>
      <w:b/>
      <w:color w:val="000000" w:themeColor="text1"/>
      <w:sz w:val="28"/>
      <w:szCs w:val="28"/>
    </w:rPr>
  </w:style>
  <w:style w:type="character" w:customStyle="1" w:styleId="Heading1-NoNumberChar">
    <w:name w:val="Heading 1 - No Number Char"/>
    <w:basedOn w:val="Heading1Char"/>
    <w:link w:val="Heading1-NoNumber"/>
    <w:rsid w:val="00DB16D1"/>
    <w:rPr>
      <w:b/>
      <w:color w:val="000000" w:themeColor="text1"/>
      <w:sz w:val="28"/>
      <w:szCs w:val="28"/>
      <w:lang w:eastAsia="en-ZA"/>
    </w:rPr>
  </w:style>
  <w:style w:type="paragraph" w:customStyle="1" w:styleId="Heading2-NoNumber">
    <w:name w:val="Heading 2 - No Number"/>
    <w:basedOn w:val="Heading2"/>
    <w:next w:val="Normal"/>
    <w:autoRedefine/>
    <w:qFormat/>
    <w:rsid w:val="00DB16D1"/>
    <w:pPr>
      <w:ind w:left="0" w:firstLine="0"/>
    </w:pPr>
    <w:rPr>
      <w:rFonts w:eastAsia="Times New Roman" w:cs="Times New Roman"/>
    </w:rPr>
  </w:style>
  <w:style w:type="character" w:customStyle="1" w:styleId="Heading2Char">
    <w:name w:val="Heading 2 Char"/>
    <w:link w:val="Heading2"/>
    <w:rsid w:val="00DB16D1"/>
    <w:rPr>
      <w:rFonts w:cstheme="majorBidi"/>
      <w:b/>
      <w:i/>
      <w:lang w:eastAsia="en-ZA"/>
    </w:rPr>
  </w:style>
  <w:style w:type="paragraph" w:customStyle="1" w:styleId="Bullet">
    <w:name w:val="Bullet"/>
    <w:basedOn w:val="Normal"/>
    <w:autoRedefine/>
    <w:qFormat/>
    <w:rsid w:val="00DB16D1"/>
    <w:pPr>
      <w:numPr>
        <w:numId w:val="13"/>
      </w:numPr>
    </w:pPr>
    <w:rPr>
      <w:rFonts w:eastAsia="Times New Roman" w:cs="Arial"/>
      <w:szCs w:val="20"/>
      <w:lang w:eastAsia="en-US"/>
    </w:rPr>
  </w:style>
  <w:style w:type="paragraph" w:customStyle="1" w:styleId="Source">
    <w:name w:val="Source"/>
    <w:basedOn w:val="Normal"/>
    <w:autoRedefine/>
    <w:qFormat/>
    <w:rsid w:val="00DB16D1"/>
    <w:rPr>
      <w:rFonts w:eastAsia="Times New Roman"/>
    </w:rPr>
  </w:style>
  <w:style w:type="paragraph" w:customStyle="1" w:styleId="Listi">
    <w:name w:val="List i"/>
    <w:basedOn w:val="Normal"/>
    <w:autoRedefine/>
    <w:qFormat/>
    <w:rsid w:val="00DB16D1"/>
    <w:pPr>
      <w:numPr>
        <w:numId w:val="12"/>
      </w:numPr>
    </w:pPr>
    <w:rPr>
      <w:rFonts w:eastAsia="Times New Roman"/>
    </w:rPr>
  </w:style>
  <w:style w:type="paragraph" w:customStyle="1" w:styleId="BulletLevel2">
    <w:name w:val="Bullet Level 2"/>
    <w:basedOn w:val="Bullet"/>
    <w:autoRedefine/>
    <w:qFormat/>
    <w:rsid w:val="00DB16D1"/>
    <w:pPr>
      <w:numPr>
        <w:ilvl w:val="1"/>
      </w:numPr>
    </w:pPr>
  </w:style>
  <w:style w:type="paragraph" w:customStyle="1" w:styleId="Centred">
    <w:name w:val="Centred"/>
    <w:basedOn w:val="Footer"/>
    <w:autoRedefine/>
    <w:qFormat/>
    <w:rsid w:val="00DB16D1"/>
    <w:pPr>
      <w:tabs>
        <w:tab w:val="clear" w:pos="4680"/>
        <w:tab w:val="clear" w:pos="9360"/>
        <w:tab w:val="center" w:pos="4153"/>
        <w:tab w:val="right" w:pos="8306"/>
      </w:tabs>
      <w:spacing w:before="240"/>
      <w:jc w:val="center"/>
    </w:pPr>
    <w:rPr>
      <w:rFonts w:eastAsia="Times New Roman"/>
      <w:lang w:eastAsia="en-US"/>
    </w:rPr>
  </w:style>
  <w:style w:type="paragraph" w:styleId="Footer">
    <w:name w:val="footer"/>
    <w:basedOn w:val="Normal"/>
    <w:link w:val="FooterChar"/>
    <w:uiPriority w:val="99"/>
    <w:semiHidden/>
    <w:unhideWhenUsed/>
    <w:rsid w:val="00DB16D1"/>
    <w:pPr>
      <w:tabs>
        <w:tab w:val="clear" w:pos="851"/>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DB16D1"/>
    <w:rPr>
      <w:lang w:eastAsia="en-ZA"/>
    </w:rPr>
  </w:style>
  <w:style w:type="paragraph" w:customStyle="1" w:styleId="CoverPageDetails">
    <w:name w:val="Cover Page Details"/>
    <w:basedOn w:val="Normal"/>
    <w:link w:val="CoverPageDetailsChar"/>
    <w:autoRedefine/>
    <w:qFormat/>
    <w:rsid w:val="00DB16D1"/>
    <w:pPr>
      <w:jc w:val="center"/>
    </w:pPr>
    <w:rPr>
      <w:rFonts w:ascii="Cambria" w:eastAsia="Times New Roman" w:hAnsi="Cambria"/>
      <w:b/>
      <w:sz w:val="22"/>
      <w:lang w:eastAsia="en-US"/>
    </w:rPr>
  </w:style>
  <w:style w:type="character" w:customStyle="1" w:styleId="CoverPageDetailsChar">
    <w:name w:val="Cover Page Details Char"/>
    <w:basedOn w:val="DefaultParagraphFont"/>
    <w:link w:val="CoverPageDetails"/>
    <w:rsid w:val="00DB16D1"/>
    <w:rPr>
      <w:rFonts w:ascii="Cambria" w:eastAsia="Times New Roman" w:hAnsi="Cambria"/>
      <w:b/>
      <w:sz w:val="22"/>
    </w:rPr>
  </w:style>
  <w:style w:type="paragraph" w:customStyle="1" w:styleId="AppendixHeading1">
    <w:name w:val="Appendix Heading 1"/>
    <w:basedOn w:val="Heading1-NoNumber"/>
    <w:next w:val="Normal"/>
    <w:link w:val="AppendixHeading1Char"/>
    <w:autoRedefine/>
    <w:qFormat/>
    <w:rsid w:val="00DB16D1"/>
    <w:pPr>
      <w:keepNext/>
      <w:pageBreakBefore/>
      <w:jc w:val="left"/>
    </w:pPr>
    <w:rPr>
      <w:rFonts w:ascii="Cambria" w:hAnsi="Cambria"/>
    </w:rPr>
  </w:style>
  <w:style w:type="character" w:customStyle="1" w:styleId="AppendixHeading1Char">
    <w:name w:val="Appendix Heading 1 Char"/>
    <w:basedOn w:val="Heading1-NoNumberChar"/>
    <w:link w:val="AppendixHeading1"/>
    <w:rsid w:val="00DB16D1"/>
    <w:rPr>
      <w:rFonts w:ascii="Cambria" w:hAnsi="Cambria"/>
      <w:b/>
      <w:color w:val="000000" w:themeColor="text1"/>
      <w:sz w:val="28"/>
      <w:szCs w:val="28"/>
      <w:lang w:eastAsia="en-ZA"/>
    </w:rPr>
  </w:style>
  <w:style w:type="paragraph" w:customStyle="1" w:styleId="Dedication">
    <w:name w:val="Dedication"/>
    <w:basedOn w:val="Quote"/>
    <w:link w:val="DedicationChar"/>
    <w:autoRedefine/>
    <w:qFormat/>
    <w:rsid w:val="00DB16D1"/>
    <w:pPr>
      <w:ind w:left="0" w:right="0"/>
      <w:jc w:val="center"/>
    </w:pPr>
    <w:rPr>
      <w:rFonts w:eastAsia="Times New Roman"/>
    </w:rPr>
  </w:style>
  <w:style w:type="character" w:customStyle="1" w:styleId="DedicationChar">
    <w:name w:val="Dedication Char"/>
    <w:basedOn w:val="QuoteChar"/>
    <w:link w:val="Dedication"/>
    <w:rsid w:val="00DB16D1"/>
    <w:rPr>
      <w:rFonts w:ascii="Cambria" w:eastAsia="Times New Roman" w:hAnsi="Cambria"/>
      <w:i/>
      <w:iCs/>
      <w:color w:val="000000"/>
      <w:sz w:val="22"/>
    </w:rPr>
  </w:style>
  <w:style w:type="paragraph" w:styleId="Quote">
    <w:name w:val="Quote"/>
    <w:basedOn w:val="Normal"/>
    <w:next w:val="Normal"/>
    <w:link w:val="QuoteChar"/>
    <w:uiPriority w:val="29"/>
    <w:qFormat/>
    <w:rsid w:val="00DB16D1"/>
    <w:pPr>
      <w:ind w:left="567" w:right="567"/>
    </w:pPr>
    <w:rPr>
      <w:rFonts w:ascii="Cambria" w:hAnsi="Cambria"/>
      <w:i/>
      <w:iCs/>
      <w:color w:val="000000"/>
      <w:sz w:val="22"/>
      <w:lang w:eastAsia="en-US"/>
    </w:rPr>
  </w:style>
  <w:style w:type="character" w:customStyle="1" w:styleId="QuoteChar">
    <w:name w:val="Quote Char"/>
    <w:link w:val="Quote"/>
    <w:uiPriority w:val="29"/>
    <w:rsid w:val="00DB16D1"/>
    <w:rPr>
      <w:rFonts w:ascii="Cambria" w:hAnsi="Cambria"/>
      <w:i/>
      <w:iCs/>
      <w:color w:val="000000"/>
      <w:sz w:val="22"/>
    </w:rPr>
  </w:style>
  <w:style w:type="paragraph" w:customStyle="1" w:styleId="PhD">
    <w:name w:val="PhD"/>
    <w:basedOn w:val="Normal"/>
    <w:link w:val="PhDChar"/>
    <w:qFormat/>
    <w:rsid w:val="00DB16D1"/>
    <w:rPr>
      <w:rFonts w:eastAsia="Times New Roman"/>
      <w:lang w:eastAsia="en-US"/>
    </w:rPr>
  </w:style>
  <w:style w:type="character" w:customStyle="1" w:styleId="PhDChar">
    <w:name w:val="PhD Char"/>
    <w:basedOn w:val="DefaultParagraphFont"/>
    <w:link w:val="PhD"/>
    <w:rsid w:val="00DB16D1"/>
    <w:rPr>
      <w:rFonts w:eastAsia="Times New Roman"/>
    </w:rPr>
  </w:style>
  <w:style w:type="character" w:customStyle="1" w:styleId="Heading1Char">
    <w:name w:val="Heading 1 Char"/>
    <w:basedOn w:val="DefaultParagraphFont"/>
    <w:link w:val="Heading1"/>
    <w:rsid w:val="002A6625"/>
    <w:rPr>
      <w:b/>
      <w:color w:val="000000" w:themeColor="text1"/>
      <w:sz w:val="28"/>
      <w:szCs w:val="28"/>
      <w:lang w:eastAsia="en-ZA"/>
    </w:rPr>
  </w:style>
  <w:style w:type="paragraph" w:styleId="ListParagraph">
    <w:name w:val="List Paragraph"/>
    <w:basedOn w:val="Normal"/>
    <w:uiPriority w:val="34"/>
    <w:qFormat/>
    <w:rsid w:val="00DB16D1"/>
    <w:pPr>
      <w:ind w:left="720"/>
      <w:contextualSpacing/>
    </w:pPr>
  </w:style>
  <w:style w:type="character" w:customStyle="1" w:styleId="Heading3Char">
    <w:name w:val="Heading 3 Char"/>
    <w:link w:val="Heading3"/>
    <w:rsid w:val="00DB16D1"/>
    <w:rPr>
      <w:rFonts w:eastAsia="Times New Roman" w:cs="Courier New"/>
      <w:i/>
      <w:iCs/>
      <w:kern w:val="32"/>
      <w:sz w:val="28"/>
      <w:szCs w:val="20"/>
    </w:rPr>
  </w:style>
  <w:style w:type="character" w:customStyle="1" w:styleId="Heading4Char">
    <w:name w:val="Heading 4 Char"/>
    <w:link w:val="Heading4"/>
    <w:rsid w:val="00DB16D1"/>
    <w:rPr>
      <w:rFonts w:eastAsia="Times New Roman" w:cs="Courier New"/>
      <w:bCs/>
      <w:iCs/>
      <w:kern w:val="32"/>
      <w:szCs w:val="28"/>
    </w:rPr>
  </w:style>
  <w:style w:type="character" w:customStyle="1" w:styleId="Heading5Char">
    <w:name w:val="Heading 5 Char"/>
    <w:link w:val="Heading5"/>
    <w:rsid w:val="00DB16D1"/>
    <w:rPr>
      <w:rFonts w:eastAsia="Times New Roman" w:cs="Courier New"/>
      <w:i/>
      <w:kern w:val="32"/>
      <w:szCs w:val="26"/>
    </w:rPr>
  </w:style>
  <w:style w:type="character" w:customStyle="1" w:styleId="Heading6Char">
    <w:name w:val="Heading 6 Char"/>
    <w:link w:val="Heading6"/>
    <w:rsid w:val="00DB16D1"/>
    <w:rPr>
      <w:rFonts w:eastAsia="Times New Roman" w:cs="Courier New"/>
      <w:bCs/>
      <w:i/>
      <w:kern w:val="32"/>
      <w:szCs w:val="22"/>
    </w:rPr>
  </w:style>
  <w:style w:type="character" w:customStyle="1" w:styleId="Heading7Char">
    <w:name w:val="Heading 7 Char"/>
    <w:basedOn w:val="DefaultParagraphFont"/>
    <w:link w:val="Heading7"/>
    <w:semiHidden/>
    <w:rsid w:val="00DB16D1"/>
    <w:rPr>
      <w:rFonts w:asciiTheme="majorHAnsi" w:eastAsiaTheme="majorEastAsia" w:hAnsiTheme="majorHAnsi" w:cstheme="majorBidi"/>
      <w:i/>
      <w:iCs/>
      <w:color w:val="404040" w:themeColor="text1" w:themeTint="BF"/>
      <w:lang w:eastAsia="en-ZA"/>
    </w:rPr>
  </w:style>
  <w:style w:type="character" w:customStyle="1" w:styleId="Heading8Char">
    <w:name w:val="Heading 8 Char"/>
    <w:basedOn w:val="DefaultParagraphFont"/>
    <w:link w:val="Heading8"/>
    <w:semiHidden/>
    <w:rsid w:val="00DB16D1"/>
    <w:rPr>
      <w:rFonts w:asciiTheme="majorHAnsi" w:eastAsiaTheme="majorEastAsia" w:hAnsiTheme="majorHAnsi" w:cstheme="majorBidi"/>
      <w:color w:val="404040" w:themeColor="text1" w:themeTint="BF"/>
      <w:sz w:val="20"/>
      <w:szCs w:val="20"/>
      <w:lang w:eastAsia="en-ZA"/>
    </w:rPr>
  </w:style>
  <w:style w:type="character" w:customStyle="1" w:styleId="Heading9Char">
    <w:name w:val="Heading 9 Char"/>
    <w:basedOn w:val="DefaultParagraphFont"/>
    <w:link w:val="Heading9"/>
    <w:semiHidden/>
    <w:rsid w:val="00DB16D1"/>
    <w:rPr>
      <w:rFonts w:asciiTheme="majorHAnsi" w:eastAsiaTheme="majorEastAsia" w:hAnsiTheme="majorHAnsi" w:cstheme="majorBidi"/>
      <w:i/>
      <w:iCs/>
      <w:color w:val="404040" w:themeColor="text1" w:themeTint="BF"/>
      <w:sz w:val="20"/>
      <w:szCs w:val="20"/>
      <w:lang w:eastAsia="en-ZA"/>
    </w:rPr>
  </w:style>
  <w:style w:type="paragraph" w:styleId="Caption">
    <w:name w:val="caption"/>
    <w:basedOn w:val="Normal"/>
    <w:next w:val="Normal"/>
    <w:uiPriority w:val="35"/>
    <w:semiHidden/>
    <w:unhideWhenUsed/>
    <w:qFormat/>
    <w:rsid w:val="00DB16D1"/>
    <w:pPr>
      <w:spacing w:after="200"/>
    </w:pPr>
    <w:rPr>
      <w:rFonts w:eastAsia="Times New Roman"/>
      <w:b/>
      <w:bCs/>
      <w:szCs w:val="18"/>
    </w:rPr>
  </w:style>
  <w:style w:type="paragraph" w:styleId="Title">
    <w:name w:val="Title"/>
    <w:aliases w:val="Thesis Title"/>
    <w:basedOn w:val="Normal"/>
    <w:next w:val="Normal"/>
    <w:link w:val="TitleChar"/>
    <w:uiPriority w:val="10"/>
    <w:qFormat/>
    <w:rsid w:val="00DB16D1"/>
    <w:pPr>
      <w:spacing w:after="300"/>
      <w:contextualSpacing/>
      <w:jc w:val="center"/>
    </w:pPr>
    <w:rPr>
      <w:rFonts w:eastAsiaTheme="majorEastAsia" w:cstheme="majorBidi"/>
      <w:i/>
      <w:smallCaps/>
      <w:spacing w:val="5"/>
      <w:kern w:val="28"/>
      <w:sz w:val="52"/>
      <w:szCs w:val="52"/>
      <w:lang w:eastAsia="en-US"/>
    </w:rPr>
  </w:style>
  <w:style w:type="character" w:customStyle="1" w:styleId="TitleChar">
    <w:name w:val="Title Char"/>
    <w:aliases w:val="Thesis Title Char"/>
    <w:basedOn w:val="DefaultParagraphFont"/>
    <w:link w:val="Title"/>
    <w:uiPriority w:val="10"/>
    <w:rsid w:val="00DB16D1"/>
    <w:rPr>
      <w:rFonts w:eastAsiaTheme="majorEastAsia" w:cstheme="majorBidi"/>
      <w:i/>
      <w:smallCaps/>
      <w:spacing w:val="5"/>
      <w:kern w:val="28"/>
      <w:sz w:val="52"/>
      <w:szCs w:val="52"/>
    </w:rPr>
  </w:style>
  <w:style w:type="character" w:styleId="Emphasis">
    <w:name w:val="Emphasis"/>
    <w:uiPriority w:val="20"/>
    <w:qFormat/>
    <w:rsid w:val="00DB16D1"/>
    <w:rPr>
      <w:i/>
      <w:caps/>
    </w:rPr>
  </w:style>
  <w:style w:type="paragraph" w:styleId="NoSpacing">
    <w:name w:val="No Spacing"/>
    <w:uiPriority w:val="1"/>
    <w:qFormat/>
    <w:rsid w:val="00DB16D1"/>
    <w:pPr>
      <w:tabs>
        <w:tab w:val="left" w:pos="851"/>
      </w:tabs>
      <w:spacing w:before="120" w:after="120"/>
      <w:jc w:val="both"/>
    </w:pPr>
    <w:rPr>
      <w:rFonts w:eastAsia="Times New Roman"/>
      <w:sz w:val="22"/>
    </w:rPr>
  </w:style>
  <w:style w:type="paragraph" w:styleId="DocumentMap">
    <w:name w:val="Document Map"/>
    <w:basedOn w:val="Normal"/>
    <w:link w:val="DocumentMapChar"/>
    <w:uiPriority w:val="99"/>
    <w:semiHidden/>
    <w:unhideWhenUsed/>
    <w:rsid w:val="00DB16D1"/>
    <w:pPr>
      <w:spacing w:before="0" w:line="240" w:lineRule="auto"/>
    </w:pPr>
  </w:style>
  <w:style w:type="character" w:customStyle="1" w:styleId="DocumentMapChar">
    <w:name w:val="Document Map Char"/>
    <w:basedOn w:val="DefaultParagraphFont"/>
    <w:link w:val="DocumentMap"/>
    <w:uiPriority w:val="99"/>
    <w:semiHidden/>
    <w:rsid w:val="00DB16D1"/>
    <w:rPr>
      <w:lang w:eastAsia="en-ZA"/>
    </w:rPr>
  </w:style>
  <w:style w:type="character" w:styleId="LineNumber">
    <w:name w:val="line number"/>
    <w:basedOn w:val="DefaultParagraphFont"/>
    <w:uiPriority w:val="99"/>
    <w:semiHidden/>
    <w:unhideWhenUsed/>
    <w:rsid w:val="00DB16D1"/>
  </w:style>
  <w:style w:type="paragraph" w:styleId="BalloonText">
    <w:name w:val="Balloon Text"/>
    <w:basedOn w:val="Normal"/>
    <w:link w:val="BalloonTextChar"/>
    <w:uiPriority w:val="99"/>
    <w:semiHidden/>
    <w:unhideWhenUsed/>
    <w:rsid w:val="0048644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41"/>
    <w:rPr>
      <w:rFonts w:ascii="Tahoma" w:hAnsi="Tahoma" w:cs="Tahoma"/>
      <w:sz w:val="16"/>
      <w:szCs w:val="1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F2DDDA-8642-5F41-AED1-39F31CE7B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11506</Words>
  <Characters>65587</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Gilead Sciences</Company>
  <LinksUpToDate>false</LinksUpToDate>
  <CharactersWithSpaces>76940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Strydom</dc:creator>
  <cp:lastModifiedBy>Strydom, Natasha</cp:lastModifiedBy>
  <cp:revision>4</cp:revision>
  <cp:lastPrinted>2018-05-31T19:25:00Z</cp:lastPrinted>
  <dcterms:created xsi:type="dcterms:W3CDTF">2019-02-20T00:34:00Z</dcterms:created>
  <dcterms:modified xsi:type="dcterms:W3CDTF">2019-02-20T00:45:00Z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http://www.zotero.org/styles/dalton-transactions</vt:lpwstr>
  </property>
  <property fmtid="{D5CDD505-2E9C-101B-9397-08002B2CF9AE}" pid="7" name="Mendeley Recent Style Name 2_1">
    <vt:lpwstr>Dalton Transactions</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7th edition</vt:lpwstr>
  </property>
  <property fmtid="{D5CDD505-2E9C-101B-9397-08002B2CF9AE}" pid="12" name="Mendeley Recent Style Id 5_1">
    <vt:lpwstr>http://www.zotero.org/styles/nature</vt:lpwstr>
  </property>
  <property fmtid="{D5CDD505-2E9C-101B-9397-08002B2CF9AE}" pid="13" name="Mendeley Recent Style Name 5_1">
    <vt:lpwstr>Nature</vt:lpwstr>
  </property>
  <property fmtid="{D5CDD505-2E9C-101B-9397-08002B2CF9AE}" pid="14" name="Mendeley Recent Style Id 6_1">
    <vt:lpwstr>http://www.zotero.org/styles/plos-computational-biology</vt:lpwstr>
  </property>
  <property fmtid="{D5CDD505-2E9C-101B-9397-08002B2CF9AE}" pid="15" name="Mendeley Recent Style Name 6_1">
    <vt:lpwstr>PLOS Computational Biology</vt:lpwstr>
  </property>
  <property fmtid="{D5CDD505-2E9C-101B-9397-08002B2CF9AE}" pid="16" name="Mendeley Recent Style Id 7_1">
    <vt:lpwstr>http://www.zotero.org/styles/plos-medicine</vt:lpwstr>
  </property>
  <property fmtid="{D5CDD505-2E9C-101B-9397-08002B2CF9AE}" pid="17" name="Mendeley Recent Style Name 7_1">
    <vt:lpwstr>PLOS Medicine</vt:lpwstr>
  </property>
  <property fmtid="{D5CDD505-2E9C-101B-9397-08002B2CF9AE}" pid="18" name="Mendeley Recent Style Id 8_1">
    <vt:lpwstr>http://www.zotero.org/styles/science-translational-medicine</vt:lpwstr>
  </property>
  <property fmtid="{D5CDD505-2E9C-101B-9397-08002B2CF9AE}" pid="19" name="Mendeley Recent Style Name 8_1">
    <vt:lpwstr>Science Translational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1953192b-a9e7-3f1f-8734-9d37e9fa042d</vt:lpwstr>
  </property>
  <property fmtid="{D5CDD505-2E9C-101B-9397-08002B2CF9AE}" pid="24" name="Mendeley Citation Style_1">
    <vt:lpwstr>http://www.zotero.org/styles/plos-computational-biology</vt:lpwstr>
  </property>
</Properties>
</file>