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328A61" w14:textId="0C4644A8" w:rsidR="00455642" w:rsidRPr="008D5DCD" w:rsidRDefault="003E76CD">
      <w:pPr>
        <w:pStyle w:val="Default"/>
        <w:rPr>
          <w:rFonts w:ascii="Helvetica" w:hAnsi="Helvetica"/>
          <w:sz w:val="24"/>
          <w:szCs w:val="24"/>
          <w:u w:color="000000"/>
        </w:rPr>
      </w:pPr>
      <w:bookmarkStart w:id="0" w:name="_GoBack"/>
      <w:r w:rsidRPr="008D5DCD">
        <w:rPr>
          <w:rFonts w:ascii="Helvetica" w:hAnsi="Helvetica"/>
          <w:b/>
          <w:bCs/>
          <w:sz w:val="24"/>
          <w:szCs w:val="24"/>
          <w:u w:color="000000"/>
        </w:rPr>
        <w:t>S9</w:t>
      </w:r>
      <w:r w:rsidRPr="008D5DCD">
        <w:rPr>
          <w:rFonts w:ascii="Helvetica" w:hAnsi="Helvetica"/>
          <w:b/>
          <w:bCs/>
          <w:sz w:val="24"/>
          <w:szCs w:val="24"/>
          <w:u w:color="000000"/>
          <w:lang w:val="it-IT"/>
        </w:rPr>
        <w:t xml:space="preserve"> Table.</w:t>
      </w:r>
      <w:r w:rsidRPr="008D5DCD">
        <w:rPr>
          <w:rFonts w:ascii="Helvetica" w:hAnsi="Helvetica"/>
          <w:sz w:val="24"/>
          <w:szCs w:val="24"/>
          <w:u w:color="000000"/>
        </w:rPr>
        <w:t xml:space="preserve"> Adjusted odds ratios of</w:t>
      </w:r>
      <w:r w:rsidRPr="008D5DCD">
        <w:rPr>
          <w:rFonts w:ascii="Helvetica" w:hAnsi="Helvetica"/>
          <w:b/>
          <w:bCs/>
          <w:sz w:val="24"/>
          <w:szCs w:val="24"/>
          <w:u w:color="000000"/>
        </w:rPr>
        <w:t xml:space="preserve"> </w:t>
      </w:r>
      <w:r w:rsidRPr="008D5DCD">
        <w:rPr>
          <w:rFonts w:ascii="Helvetica" w:hAnsi="Helvetica"/>
          <w:sz w:val="24"/>
          <w:szCs w:val="24"/>
          <w:u w:color="000000"/>
        </w:rPr>
        <w:t xml:space="preserve">30-day all-cause mortality for patients admitted on weekends </w:t>
      </w:r>
      <w:r w:rsidR="00D632E0" w:rsidRPr="008D5DCD">
        <w:rPr>
          <w:rFonts w:ascii="Helvetica" w:hAnsi="Helvetica"/>
          <w:sz w:val="24"/>
          <w:szCs w:val="24"/>
          <w:u w:color="000000"/>
        </w:rPr>
        <w:t>who</w:t>
      </w:r>
      <w:r w:rsidR="0024583C" w:rsidRPr="008D5DCD">
        <w:rPr>
          <w:rFonts w:ascii="Helvetica" w:hAnsi="Helvetica"/>
          <w:sz w:val="24"/>
          <w:szCs w:val="24"/>
          <w:u w:color="000000"/>
        </w:rPr>
        <w:t xml:space="preserve"> had noncardiac surgery </w:t>
      </w:r>
      <w:r w:rsidRPr="008D5DCD">
        <w:rPr>
          <w:rFonts w:ascii="Helvetica" w:hAnsi="Helvetica"/>
          <w:sz w:val="24"/>
          <w:szCs w:val="24"/>
          <w:u w:color="000000"/>
        </w:rPr>
        <w:t>compared with reference admissions, measured from day of admission and from day of surgery.</w:t>
      </w:r>
    </w:p>
    <w:tbl>
      <w:tblPr>
        <w:tblW w:w="94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2681"/>
        <w:gridCol w:w="2790"/>
      </w:tblGrid>
      <w:tr w:rsidR="00D600B8" w:rsidRPr="008D5DCD" w14:paraId="05243670" w14:textId="77777777" w:rsidTr="002E6182">
        <w:trPr>
          <w:trHeight w:val="290"/>
        </w:trPr>
        <w:tc>
          <w:tcPr>
            <w:tcW w:w="3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4551" w14:textId="77777777" w:rsidR="00D600B8" w:rsidRPr="008D5DCD" w:rsidRDefault="00D600B8" w:rsidP="002E6182">
            <w:pPr>
              <w:rPr>
                <w:rFonts w:ascii="Helvetica" w:hAnsi="Helvetica"/>
              </w:rPr>
            </w:pPr>
          </w:p>
        </w:tc>
        <w:tc>
          <w:tcPr>
            <w:tcW w:w="54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0F63" w14:textId="77777777" w:rsidR="00D600B8" w:rsidRPr="008D5DCD" w:rsidRDefault="00D600B8" w:rsidP="002E6182">
            <w:pPr>
              <w:pStyle w:val="TableStyle2"/>
              <w:jc w:val="center"/>
              <w:rPr>
                <w:rFonts w:ascii="Helvetica" w:hAnsi="Helvetica"/>
              </w:rPr>
            </w:pPr>
            <w:r w:rsidRPr="008D5DCD">
              <w:rPr>
                <w:rFonts w:ascii="Helvetica" w:hAnsi="Helvetica"/>
                <w:b/>
                <w:bCs/>
                <w:sz w:val="24"/>
                <w:szCs w:val="24"/>
              </w:rPr>
              <w:t>30-day all-cause mortality</w:t>
            </w:r>
          </w:p>
        </w:tc>
      </w:tr>
      <w:tr w:rsidR="00D600B8" w:rsidRPr="008D5DCD" w14:paraId="3632058E" w14:textId="77777777" w:rsidTr="002E6182">
        <w:trPr>
          <w:trHeight w:val="570"/>
        </w:trPr>
        <w:tc>
          <w:tcPr>
            <w:tcW w:w="3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28A0" w14:textId="77777777" w:rsidR="00D600B8" w:rsidRPr="008D5DCD" w:rsidRDefault="00D600B8" w:rsidP="002E6182">
            <w:pPr>
              <w:rPr>
                <w:rFonts w:ascii="Helvetica" w:hAnsi="Helvetica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55F8" w14:textId="77777777" w:rsidR="00D600B8" w:rsidRPr="008D5DCD" w:rsidRDefault="00D600B8" w:rsidP="002E6182">
            <w:pPr>
              <w:pStyle w:val="TableStyle2"/>
              <w:jc w:val="center"/>
              <w:rPr>
                <w:rFonts w:ascii="Helvetica" w:hAnsi="Helvetica"/>
                <w:b/>
              </w:rPr>
            </w:pPr>
            <w:r w:rsidRPr="008D5DCD">
              <w:rPr>
                <w:rFonts w:ascii="Helvetica" w:hAnsi="Helvetica"/>
                <w:b/>
                <w:sz w:val="24"/>
                <w:szCs w:val="24"/>
              </w:rPr>
              <w:t>From date of admission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EEBF" w14:textId="77777777" w:rsidR="00D600B8" w:rsidRPr="008D5DCD" w:rsidRDefault="00D600B8" w:rsidP="002E6182">
            <w:pPr>
              <w:pStyle w:val="TableStyle2"/>
              <w:jc w:val="center"/>
              <w:rPr>
                <w:rFonts w:ascii="Helvetica" w:hAnsi="Helvetica"/>
                <w:b/>
              </w:rPr>
            </w:pPr>
            <w:r w:rsidRPr="008D5DCD">
              <w:rPr>
                <w:rFonts w:ascii="Helvetica" w:hAnsi="Helvetica"/>
                <w:b/>
                <w:sz w:val="24"/>
                <w:szCs w:val="24"/>
              </w:rPr>
              <w:t>From date of surgery</w:t>
            </w:r>
          </w:p>
        </w:tc>
      </w:tr>
      <w:tr w:rsidR="00D600B8" w:rsidRPr="008D5DCD" w14:paraId="21D3A703" w14:textId="77777777" w:rsidTr="002E6182">
        <w:trPr>
          <w:trHeight w:val="290"/>
        </w:trPr>
        <w:tc>
          <w:tcPr>
            <w:tcW w:w="3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EF34" w14:textId="77777777" w:rsidR="00D600B8" w:rsidRPr="008D5DCD" w:rsidRDefault="00D600B8" w:rsidP="002E6182">
            <w:pPr>
              <w:pStyle w:val="TableStyle2"/>
              <w:rPr>
                <w:rFonts w:ascii="Helvetica" w:hAnsi="Helvetica"/>
              </w:rPr>
            </w:pPr>
            <w:r w:rsidRPr="008D5DCD">
              <w:rPr>
                <w:rFonts w:ascii="Helvetica" w:hAnsi="Helvetica"/>
                <w:b/>
                <w:bCs/>
                <w:sz w:val="24"/>
                <w:szCs w:val="24"/>
                <w:u w:color="000000"/>
              </w:rPr>
              <w:t>Admission type</w:t>
            </w:r>
          </w:p>
        </w:tc>
        <w:tc>
          <w:tcPr>
            <w:tcW w:w="26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76D5" w14:textId="77777777" w:rsidR="00D600B8" w:rsidRPr="008D5DCD" w:rsidRDefault="00D600B8" w:rsidP="002E6182">
            <w:pPr>
              <w:rPr>
                <w:rFonts w:ascii="Helvetica" w:hAnsi="Helvetic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9429" w14:textId="77777777" w:rsidR="00D600B8" w:rsidRPr="008D5DCD" w:rsidRDefault="00D600B8" w:rsidP="002E6182">
            <w:pPr>
              <w:rPr>
                <w:rFonts w:ascii="Helvetica" w:hAnsi="Helvetica"/>
              </w:rPr>
            </w:pPr>
          </w:p>
        </w:tc>
      </w:tr>
      <w:tr w:rsidR="00D600B8" w:rsidRPr="008D5DCD" w14:paraId="256499BF" w14:textId="77777777" w:rsidTr="00D600B8">
        <w:trPr>
          <w:trHeight w:val="18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E7D2" w14:textId="77777777" w:rsidR="00D600B8" w:rsidRPr="008D5DCD" w:rsidRDefault="00D600B8" w:rsidP="002E6182">
            <w:pPr>
              <w:pStyle w:val="TableStyle2"/>
              <w:rPr>
                <w:rFonts w:ascii="Helvetica" w:hAnsi="Helvetica"/>
              </w:rPr>
            </w:pPr>
            <w:r w:rsidRPr="008D5DCD">
              <w:rPr>
                <w:rFonts w:ascii="Helvetica" w:hAnsi="Helvetica"/>
                <w:sz w:val="24"/>
                <w:szCs w:val="24"/>
                <w:u w:color="000000"/>
              </w:rPr>
              <w:t>All weekend admissions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32F0" w14:textId="77777777" w:rsidR="00D600B8" w:rsidRPr="008D5DCD" w:rsidRDefault="00D600B8" w:rsidP="002E6182">
            <w:pPr>
              <w:pStyle w:val="TableStyle2"/>
              <w:rPr>
                <w:rFonts w:ascii="Helvetica" w:hAnsi="Helvetica" w:cs="Helvetica"/>
                <w:sz w:val="24"/>
                <w:szCs w:val="24"/>
              </w:rPr>
            </w:pPr>
            <w:r w:rsidRPr="008D5DCD">
              <w:rPr>
                <w:rFonts w:ascii="Helvetica" w:hAnsi="Helvetica" w:cs="Helvetica"/>
                <w:sz w:val="24"/>
                <w:szCs w:val="24"/>
              </w:rPr>
              <w:t>1.05 (1.00 to 1.11)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A7A8" w14:textId="26E92B84" w:rsidR="00D600B8" w:rsidRPr="008D5DCD" w:rsidRDefault="0057648F" w:rsidP="002E6182">
            <w:pPr>
              <w:rPr>
                <w:rFonts w:ascii="Helvetica" w:hAnsi="Helvetica" w:cs="Helvetica"/>
                <w:color w:val="000000"/>
              </w:rPr>
            </w:pPr>
            <w:r w:rsidRPr="008D5DCD">
              <w:rPr>
                <w:rFonts w:ascii="Helvetica" w:hAnsi="Helvetica" w:cs="Helvetica"/>
                <w:color w:val="000000"/>
              </w:rPr>
              <w:t>1.08 (1.03 to</w:t>
            </w:r>
            <w:r w:rsidR="00D600B8" w:rsidRPr="008D5DCD">
              <w:rPr>
                <w:rFonts w:ascii="Helvetica" w:hAnsi="Helvetica" w:cs="Helvetica"/>
                <w:color w:val="000000"/>
              </w:rPr>
              <w:t xml:space="preserve"> 1.13)</w:t>
            </w:r>
          </w:p>
        </w:tc>
      </w:tr>
      <w:tr w:rsidR="00D600B8" w:rsidRPr="008D5DCD" w14:paraId="02381623" w14:textId="77777777" w:rsidTr="00D600B8">
        <w:trPr>
          <w:trHeight w:val="770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F354" w14:textId="77777777" w:rsidR="00D600B8" w:rsidRPr="008D5DCD" w:rsidRDefault="00D600B8" w:rsidP="002E6182">
            <w:pPr>
              <w:pStyle w:val="TableStyle2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 w:rsidRPr="008D5DCD">
              <w:rPr>
                <w:rFonts w:ascii="Helvetica" w:hAnsi="Helvetica"/>
                <w:sz w:val="24"/>
                <w:szCs w:val="24"/>
                <w:u w:color="000000"/>
              </w:rPr>
              <w:t>Weekend admission and weekend surgery</w:t>
            </w:r>
          </w:p>
          <w:p w14:paraId="6505A72B" w14:textId="77777777" w:rsidR="00D600B8" w:rsidRPr="008D5DCD" w:rsidRDefault="00D600B8" w:rsidP="002E6182">
            <w:pPr>
              <w:pStyle w:val="TableStyle2"/>
              <w:ind w:firstLine="283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 w:rsidRPr="008D5DCD">
              <w:rPr>
                <w:rFonts w:ascii="Helvetica" w:hAnsi="Helvetica"/>
                <w:sz w:val="24"/>
                <w:szCs w:val="24"/>
                <w:u w:color="000000"/>
              </w:rPr>
              <w:t>Urgent</w:t>
            </w:r>
          </w:p>
          <w:p w14:paraId="24EB0BAB" w14:textId="77777777" w:rsidR="00D600B8" w:rsidRPr="008D5DCD" w:rsidRDefault="00D600B8" w:rsidP="002E6182">
            <w:pPr>
              <w:pStyle w:val="TableStyle2"/>
              <w:ind w:firstLine="283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 w:rsidRPr="008D5DCD">
              <w:rPr>
                <w:rFonts w:ascii="Helvetica" w:hAnsi="Helvetica"/>
                <w:sz w:val="24"/>
                <w:szCs w:val="24"/>
                <w:u w:color="000000"/>
                <w:lang w:val="fr-FR"/>
              </w:rPr>
              <w:t>Elective</w:t>
            </w:r>
          </w:p>
          <w:p w14:paraId="682B59F0" w14:textId="77777777" w:rsidR="00D600B8" w:rsidRPr="008D5DCD" w:rsidRDefault="00D600B8" w:rsidP="002E6182">
            <w:pPr>
              <w:pStyle w:val="TableStyle2"/>
              <w:ind w:firstLine="283"/>
              <w:rPr>
                <w:rFonts w:ascii="Helvetica" w:hAnsi="Helvetica"/>
              </w:rPr>
            </w:pPr>
            <w:r w:rsidRPr="008D5DCD">
              <w:rPr>
                <w:rFonts w:ascii="Helvetica" w:hAnsi="Helvetica"/>
                <w:sz w:val="24"/>
                <w:szCs w:val="24"/>
                <w:u w:color="000000"/>
              </w:rPr>
              <w:t>Subtotal (urgent + elective)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3C94" w14:textId="77777777" w:rsidR="00D600B8" w:rsidRPr="008D5DCD" w:rsidRDefault="00D600B8" w:rsidP="002E6182">
            <w:pPr>
              <w:pStyle w:val="TableStyle2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</w:p>
          <w:p w14:paraId="6FEEE549" w14:textId="77777777" w:rsidR="00D600B8" w:rsidRPr="008D5DCD" w:rsidRDefault="00D600B8" w:rsidP="002E6182">
            <w:pPr>
              <w:pStyle w:val="TableStyle2"/>
              <w:rPr>
                <w:rFonts w:ascii="Helvetica" w:hAnsi="Helvetica" w:cs="Helvetica"/>
                <w:sz w:val="24"/>
                <w:szCs w:val="24"/>
                <w:u w:color="000000"/>
              </w:rPr>
            </w:pPr>
          </w:p>
          <w:p w14:paraId="3ADF1476" w14:textId="77777777" w:rsidR="00D600B8" w:rsidRPr="008D5DCD" w:rsidRDefault="00D600B8" w:rsidP="002E6182">
            <w:pPr>
              <w:pStyle w:val="TableStyle2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 w:rsidRPr="008D5DCD">
              <w:rPr>
                <w:rFonts w:ascii="Helvetica" w:hAnsi="Helvetica" w:cs="Helvetica"/>
                <w:sz w:val="24"/>
                <w:szCs w:val="24"/>
                <w:u w:color="000000"/>
              </w:rPr>
              <w:t>1.02 (0.95 to 1.09)</w:t>
            </w:r>
          </w:p>
          <w:p w14:paraId="1B20BEEC" w14:textId="2B3C5063" w:rsidR="00D600B8" w:rsidRPr="008D5DCD" w:rsidRDefault="00D600B8" w:rsidP="002E6182">
            <w:pPr>
              <w:pStyle w:val="TableStyle2"/>
              <w:rPr>
                <w:rFonts w:ascii="Helvetica" w:eastAsia="Helvetica" w:hAnsi="Helvetica" w:cs="Helvetica"/>
                <w:sz w:val="24"/>
                <w:szCs w:val="24"/>
                <w:u w:color="000000"/>
                <w:vertAlign w:val="superscript"/>
              </w:rPr>
            </w:pPr>
            <w:r w:rsidRPr="008D5DCD">
              <w:rPr>
                <w:rFonts w:ascii="Helvetica" w:hAnsi="Helvetica" w:cs="Helvetica"/>
                <w:sz w:val="24"/>
                <w:szCs w:val="24"/>
                <w:u w:color="000000"/>
              </w:rPr>
              <w:t>3.30 (1.98 to 5.49)</w:t>
            </w:r>
            <w:r w:rsidR="00B46966" w:rsidRPr="008D5DCD">
              <w:rPr>
                <w:rFonts w:ascii="Helvetica" w:hAnsi="Helvetica" w:cs="Helvetica"/>
                <w:sz w:val="24"/>
                <w:szCs w:val="24"/>
                <w:u w:color="000000"/>
                <w:vertAlign w:val="superscript"/>
              </w:rPr>
              <w:t>a</w:t>
            </w:r>
          </w:p>
          <w:p w14:paraId="52492539" w14:textId="77777777" w:rsidR="00D600B8" w:rsidRPr="008D5DCD" w:rsidRDefault="00D600B8" w:rsidP="002E6182">
            <w:pPr>
              <w:pStyle w:val="TableStyle2"/>
              <w:rPr>
                <w:rFonts w:ascii="Helvetica" w:hAnsi="Helvetica" w:cs="Helvetica"/>
                <w:sz w:val="24"/>
                <w:szCs w:val="24"/>
              </w:rPr>
            </w:pPr>
            <w:r w:rsidRPr="008D5DCD">
              <w:rPr>
                <w:rFonts w:ascii="Helvetica" w:hAnsi="Helvetica" w:cs="Helvetica"/>
                <w:sz w:val="24"/>
                <w:szCs w:val="24"/>
              </w:rPr>
              <w:t>1.04 (0.97 to 1.11)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CC1B" w14:textId="77777777" w:rsidR="00D600B8" w:rsidRPr="008D5DCD" w:rsidRDefault="00D600B8" w:rsidP="002E6182">
            <w:pPr>
              <w:rPr>
                <w:rFonts w:ascii="Helvetica" w:hAnsi="Helvetica" w:cs="Helvetica"/>
              </w:rPr>
            </w:pPr>
          </w:p>
          <w:tbl>
            <w:tblPr>
              <w:tblW w:w="3060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</w:tblGrid>
            <w:tr w:rsidR="00D600B8" w:rsidRPr="008D5DCD" w14:paraId="1F944DCA" w14:textId="77777777" w:rsidTr="002E6182">
              <w:trPr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3FDD3" w14:textId="77777777" w:rsidR="00D600B8" w:rsidRPr="008D5DCD" w:rsidRDefault="00D600B8" w:rsidP="002E6182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  <w:p w14:paraId="1DFD7593" w14:textId="587B2E9A" w:rsidR="00D600B8" w:rsidRPr="008D5DCD" w:rsidRDefault="0057648F" w:rsidP="002E6182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8D5DCD">
                    <w:rPr>
                      <w:rFonts w:ascii="Helvetica" w:hAnsi="Helvetica" w:cs="Helvetica"/>
                      <w:color w:val="000000"/>
                    </w:rPr>
                    <w:t>1.01 (0.94 to</w:t>
                  </w:r>
                  <w:r w:rsidR="00D600B8" w:rsidRPr="008D5DCD">
                    <w:rPr>
                      <w:rFonts w:ascii="Helvetica" w:hAnsi="Helvetica" w:cs="Helvetica"/>
                      <w:color w:val="000000"/>
                    </w:rPr>
                    <w:t xml:space="preserve"> 1.08)</w:t>
                  </w:r>
                </w:p>
              </w:tc>
            </w:tr>
            <w:tr w:rsidR="00D600B8" w:rsidRPr="008D5DCD" w14:paraId="17088968" w14:textId="77777777" w:rsidTr="002E6182">
              <w:trPr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8F981" w14:textId="37C4C8D9" w:rsidR="00D600B8" w:rsidRPr="008D5DCD" w:rsidRDefault="0057648F" w:rsidP="002E6182">
                  <w:pPr>
                    <w:rPr>
                      <w:rFonts w:ascii="Helvetica" w:hAnsi="Helvetica" w:cs="Helvetica"/>
                      <w:b/>
                      <w:color w:val="000000"/>
                    </w:rPr>
                  </w:pPr>
                  <w:r w:rsidRPr="008D5DCD">
                    <w:rPr>
                      <w:rFonts w:ascii="Helvetica" w:hAnsi="Helvetica" w:cs="Helvetica"/>
                      <w:color w:val="000000"/>
                    </w:rPr>
                    <w:t>3.30 (1.98 to</w:t>
                  </w:r>
                  <w:r w:rsidR="00D600B8" w:rsidRPr="008D5DCD">
                    <w:rPr>
                      <w:rFonts w:ascii="Helvetica" w:hAnsi="Helvetica" w:cs="Helvetica"/>
                      <w:color w:val="000000"/>
                    </w:rPr>
                    <w:t xml:space="preserve"> 5.49)</w:t>
                  </w:r>
                  <w:r w:rsidR="00B46966" w:rsidRPr="008D5DCD">
                    <w:rPr>
                      <w:rFonts w:ascii="Helvetica" w:hAnsi="Helvetica" w:cs="Helvetica"/>
                      <w:u w:color="000000"/>
                      <w:vertAlign w:val="superscript"/>
                    </w:rPr>
                    <w:t>a</w:t>
                  </w:r>
                </w:p>
              </w:tc>
            </w:tr>
            <w:tr w:rsidR="00D600B8" w:rsidRPr="008D5DCD" w14:paraId="4139C994" w14:textId="77777777" w:rsidTr="002E6182">
              <w:trPr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C0F75" w14:textId="73169664" w:rsidR="00D600B8" w:rsidRPr="008D5DCD" w:rsidRDefault="0057648F" w:rsidP="002E6182">
                  <w:pPr>
                    <w:rPr>
                      <w:rFonts w:ascii="Helvetica" w:hAnsi="Helvetica" w:cs="Helvetica"/>
                      <w:color w:val="000000"/>
                    </w:rPr>
                  </w:pPr>
                  <w:r w:rsidRPr="008D5DCD">
                    <w:rPr>
                      <w:rFonts w:ascii="Helvetica" w:hAnsi="Helvetica" w:cs="Helvetica"/>
                      <w:color w:val="000000"/>
                    </w:rPr>
                    <w:t>1.03 (0.96 to</w:t>
                  </w:r>
                  <w:r w:rsidR="00D600B8" w:rsidRPr="008D5DCD">
                    <w:rPr>
                      <w:rFonts w:ascii="Helvetica" w:hAnsi="Helvetica" w:cs="Helvetica"/>
                      <w:color w:val="000000"/>
                    </w:rPr>
                    <w:t xml:space="preserve"> 1.11)</w:t>
                  </w:r>
                </w:p>
              </w:tc>
            </w:tr>
          </w:tbl>
          <w:p w14:paraId="60F716F1" w14:textId="77777777" w:rsidR="00D600B8" w:rsidRPr="008D5DCD" w:rsidRDefault="00D600B8" w:rsidP="002E6182">
            <w:pPr>
              <w:rPr>
                <w:rFonts w:ascii="Helvetica" w:hAnsi="Helvetica" w:cs="Helvetica"/>
              </w:rPr>
            </w:pPr>
          </w:p>
        </w:tc>
      </w:tr>
      <w:tr w:rsidR="00D600B8" w:rsidRPr="008D5DCD" w14:paraId="3C8AAC76" w14:textId="77777777" w:rsidTr="002E6182">
        <w:trPr>
          <w:trHeight w:val="1410"/>
        </w:trPr>
        <w:tc>
          <w:tcPr>
            <w:tcW w:w="3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F67C" w14:textId="77777777" w:rsidR="00D600B8" w:rsidRPr="008D5DCD" w:rsidRDefault="00D600B8" w:rsidP="002E6182">
            <w:pPr>
              <w:pStyle w:val="TableStyle2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 w:rsidRPr="008D5DCD">
              <w:rPr>
                <w:rFonts w:ascii="Helvetica" w:hAnsi="Helvetica"/>
                <w:sz w:val="24"/>
                <w:szCs w:val="24"/>
                <w:u w:color="000000"/>
              </w:rPr>
              <w:t>Weekend admission and weekday surgery</w:t>
            </w:r>
          </w:p>
          <w:p w14:paraId="2BBDCE9D" w14:textId="77777777" w:rsidR="00D600B8" w:rsidRPr="008D5DCD" w:rsidRDefault="00D600B8" w:rsidP="002E6182">
            <w:pPr>
              <w:pStyle w:val="TableStyle2"/>
              <w:ind w:firstLine="283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 w:rsidRPr="008D5DCD">
              <w:rPr>
                <w:rFonts w:ascii="Helvetica" w:hAnsi="Helvetica"/>
                <w:sz w:val="24"/>
                <w:szCs w:val="24"/>
                <w:u w:color="000000"/>
              </w:rPr>
              <w:t>Urgent</w:t>
            </w:r>
          </w:p>
          <w:p w14:paraId="2BAC262B" w14:textId="77777777" w:rsidR="00D600B8" w:rsidRPr="008D5DCD" w:rsidRDefault="00D600B8" w:rsidP="002E6182">
            <w:pPr>
              <w:pStyle w:val="TableStyle2"/>
              <w:ind w:firstLine="283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 w:rsidRPr="008D5DCD">
              <w:rPr>
                <w:rFonts w:ascii="Helvetica" w:hAnsi="Helvetica"/>
                <w:sz w:val="24"/>
                <w:szCs w:val="24"/>
                <w:u w:color="000000"/>
                <w:lang w:val="fr-FR"/>
              </w:rPr>
              <w:t>Elective</w:t>
            </w:r>
          </w:p>
          <w:p w14:paraId="0640FDE4" w14:textId="77777777" w:rsidR="00D600B8" w:rsidRPr="008D5DCD" w:rsidRDefault="00D600B8" w:rsidP="002E6182">
            <w:pPr>
              <w:pStyle w:val="TableStyle2"/>
              <w:ind w:firstLine="283"/>
              <w:rPr>
                <w:rFonts w:ascii="Helvetica" w:hAnsi="Helvetica"/>
              </w:rPr>
            </w:pPr>
            <w:r w:rsidRPr="008D5DCD">
              <w:rPr>
                <w:rFonts w:ascii="Helvetica" w:hAnsi="Helvetica"/>
                <w:sz w:val="24"/>
                <w:szCs w:val="24"/>
                <w:u w:color="000000"/>
              </w:rPr>
              <w:t>Subtotal (urgent + elective)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C523" w14:textId="77777777" w:rsidR="00D600B8" w:rsidRPr="008D5DCD" w:rsidRDefault="00D600B8" w:rsidP="002E6182">
            <w:pPr>
              <w:pStyle w:val="TableStyle2"/>
              <w:rPr>
                <w:rFonts w:ascii="Helvetica" w:hAnsi="Helvetica" w:cs="Helvetica"/>
                <w:sz w:val="24"/>
                <w:szCs w:val="24"/>
                <w:u w:color="000000"/>
              </w:rPr>
            </w:pPr>
          </w:p>
          <w:p w14:paraId="168F70C3" w14:textId="77777777" w:rsidR="00D600B8" w:rsidRPr="008D5DCD" w:rsidRDefault="00D600B8" w:rsidP="002E6182">
            <w:pPr>
              <w:pStyle w:val="TableStyle2"/>
              <w:rPr>
                <w:rFonts w:ascii="Helvetica" w:hAnsi="Helvetica" w:cs="Helvetica"/>
                <w:sz w:val="24"/>
                <w:szCs w:val="24"/>
                <w:u w:color="000000"/>
              </w:rPr>
            </w:pPr>
          </w:p>
          <w:p w14:paraId="17E5A04A" w14:textId="77777777" w:rsidR="00D600B8" w:rsidRPr="008D5DCD" w:rsidRDefault="00D600B8" w:rsidP="002E6182">
            <w:pPr>
              <w:pStyle w:val="TableStyle2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 w:rsidRPr="008D5DCD">
              <w:rPr>
                <w:rFonts w:ascii="Helvetica" w:hAnsi="Helvetica" w:cs="Helvetica"/>
                <w:sz w:val="24"/>
                <w:szCs w:val="24"/>
                <w:u w:color="000000"/>
              </w:rPr>
              <w:t>1.05 (0.98 to 1.12)</w:t>
            </w:r>
          </w:p>
          <w:p w14:paraId="5F42FA3E" w14:textId="7E18392A" w:rsidR="00D600B8" w:rsidRPr="008D5DCD" w:rsidRDefault="00D600B8" w:rsidP="002E6182">
            <w:pPr>
              <w:pStyle w:val="TableStyle2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 w:rsidRPr="008D5DCD">
              <w:rPr>
                <w:rFonts w:ascii="Helvetica" w:hAnsi="Helvetica" w:cs="Helvetica"/>
                <w:sz w:val="24"/>
                <w:szCs w:val="24"/>
                <w:u w:color="000000"/>
              </w:rPr>
              <w:t>2.70 (1.81 to 4.03)</w:t>
            </w:r>
            <w:r w:rsidR="00B46966" w:rsidRPr="008D5DCD">
              <w:rPr>
                <w:rFonts w:ascii="Helvetica" w:hAnsi="Helvetica" w:cs="Helvetica"/>
                <w:sz w:val="24"/>
                <w:szCs w:val="24"/>
                <w:u w:color="000000"/>
                <w:vertAlign w:val="superscript"/>
              </w:rPr>
              <w:t>b</w:t>
            </w:r>
          </w:p>
          <w:p w14:paraId="278701AE" w14:textId="77777777" w:rsidR="00D600B8" w:rsidRPr="008D5DCD" w:rsidRDefault="00D600B8" w:rsidP="002E6182">
            <w:pPr>
              <w:pStyle w:val="TableStyle2"/>
              <w:rPr>
                <w:rFonts w:ascii="Helvetica" w:hAnsi="Helvetica" w:cs="Helvetica"/>
                <w:sz w:val="24"/>
                <w:szCs w:val="24"/>
              </w:rPr>
            </w:pPr>
            <w:r w:rsidRPr="008D5DCD">
              <w:rPr>
                <w:rFonts w:ascii="Helvetica" w:hAnsi="Helvetica" w:cs="Helvetica"/>
                <w:sz w:val="24"/>
                <w:szCs w:val="24"/>
              </w:rPr>
              <w:t>1.06 (1.00 to 1.14)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2BEF" w14:textId="77777777" w:rsidR="00D600B8" w:rsidRPr="008D5DCD" w:rsidRDefault="00D600B8" w:rsidP="002E6182">
            <w:pPr>
              <w:rPr>
                <w:rFonts w:ascii="Helvetica" w:hAnsi="Helvetica" w:cs="Helvetica"/>
              </w:rPr>
            </w:pPr>
          </w:p>
          <w:p w14:paraId="2E9A1A63" w14:textId="77777777" w:rsidR="00D600B8" w:rsidRPr="008D5DCD" w:rsidRDefault="00D600B8" w:rsidP="002E6182">
            <w:pPr>
              <w:rPr>
                <w:rFonts w:ascii="Helvetica" w:hAnsi="Helvetica" w:cs="Helvetica"/>
              </w:rPr>
            </w:pPr>
          </w:p>
          <w:tbl>
            <w:tblPr>
              <w:tblW w:w="3060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</w:tblGrid>
            <w:tr w:rsidR="00D600B8" w:rsidRPr="008D5DCD" w14:paraId="4DA1EFD8" w14:textId="77777777" w:rsidTr="002E6182">
              <w:trPr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30209" w14:textId="0F593B6F" w:rsidR="00D600B8" w:rsidRPr="008D5DCD" w:rsidRDefault="0057648F" w:rsidP="002E61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 w:cs="Helvetica"/>
                      <w:color w:val="000000"/>
                      <w:bdr w:val="none" w:sz="0" w:space="0" w:color="auto"/>
                    </w:rPr>
                  </w:pPr>
                  <w:r w:rsidRPr="008D5DCD">
                    <w:rPr>
                      <w:rFonts w:ascii="Helvetica" w:eastAsia="Times New Roman" w:hAnsi="Helvetica" w:cs="Helvetica"/>
                      <w:color w:val="000000"/>
                      <w:bdr w:val="none" w:sz="0" w:space="0" w:color="auto"/>
                    </w:rPr>
                    <w:t>1.10 (1.03 to</w:t>
                  </w:r>
                  <w:r w:rsidR="00D600B8" w:rsidRPr="008D5DCD">
                    <w:rPr>
                      <w:rFonts w:ascii="Helvetica" w:eastAsia="Times New Roman" w:hAnsi="Helvetica" w:cs="Helvetica"/>
                      <w:color w:val="000000"/>
                      <w:bdr w:val="none" w:sz="0" w:space="0" w:color="auto"/>
                    </w:rPr>
                    <w:t xml:space="preserve"> 1.17)</w:t>
                  </w:r>
                </w:p>
              </w:tc>
            </w:tr>
            <w:tr w:rsidR="00D600B8" w:rsidRPr="008D5DCD" w14:paraId="02F20CF0" w14:textId="77777777" w:rsidTr="002E6182">
              <w:trPr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B0816" w14:textId="3717AF4E" w:rsidR="00D600B8" w:rsidRPr="008D5DCD" w:rsidRDefault="0057648F" w:rsidP="002E61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 w:cs="Helvetica"/>
                      <w:color w:val="000000"/>
                      <w:bdr w:val="none" w:sz="0" w:space="0" w:color="auto"/>
                    </w:rPr>
                  </w:pPr>
                  <w:r w:rsidRPr="008D5DCD">
                    <w:rPr>
                      <w:rFonts w:ascii="Helvetica" w:eastAsia="Times New Roman" w:hAnsi="Helvetica" w:cs="Helvetica"/>
                      <w:color w:val="000000"/>
                      <w:bdr w:val="none" w:sz="0" w:space="0" w:color="auto"/>
                    </w:rPr>
                    <w:t>2.80 (1.87 to</w:t>
                  </w:r>
                  <w:r w:rsidR="00D600B8" w:rsidRPr="008D5DCD">
                    <w:rPr>
                      <w:rFonts w:ascii="Helvetica" w:eastAsia="Times New Roman" w:hAnsi="Helvetica" w:cs="Helvetica"/>
                      <w:color w:val="000000"/>
                      <w:bdr w:val="none" w:sz="0" w:space="0" w:color="auto"/>
                    </w:rPr>
                    <w:t xml:space="preserve"> 4.17)</w:t>
                  </w:r>
                  <w:r w:rsidR="00B46966" w:rsidRPr="008D5DCD">
                    <w:rPr>
                      <w:rFonts w:ascii="Helvetica" w:hAnsi="Helvetica" w:cs="Helvetica"/>
                      <w:u w:color="000000"/>
                      <w:vertAlign w:val="superscript"/>
                    </w:rPr>
                    <w:t>b</w:t>
                  </w:r>
                </w:p>
              </w:tc>
            </w:tr>
            <w:tr w:rsidR="00D600B8" w:rsidRPr="008D5DCD" w14:paraId="29B5B36E" w14:textId="77777777" w:rsidTr="002E6182">
              <w:trPr>
                <w:trHeight w:val="28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6F79B" w14:textId="24261617" w:rsidR="00D600B8" w:rsidRPr="008D5DCD" w:rsidRDefault="0057648F" w:rsidP="002E61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 w:cs="Helvetica"/>
                      <w:color w:val="000000"/>
                      <w:bdr w:val="none" w:sz="0" w:space="0" w:color="auto"/>
                    </w:rPr>
                  </w:pPr>
                  <w:r w:rsidRPr="008D5DCD">
                    <w:rPr>
                      <w:rFonts w:ascii="Helvetica" w:eastAsia="Times New Roman" w:hAnsi="Helvetica" w:cs="Helvetica"/>
                      <w:color w:val="000000"/>
                      <w:bdr w:val="none" w:sz="0" w:space="0" w:color="auto"/>
                    </w:rPr>
                    <w:t>1.11 (1.04 to</w:t>
                  </w:r>
                  <w:r w:rsidR="00D600B8" w:rsidRPr="008D5DCD">
                    <w:rPr>
                      <w:rFonts w:ascii="Helvetica" w:eastAsia="Times New Roman" w:hAnsi="Helvetica" w:cs="Helvetica"/>
                      <w:color w:val="000000"/>
                      <w:bdr w:val="none" w:sz="0" w:space="0" w:color="auto"/>
                    </w:rPr>
                    <w:t xml:space="preserve"> 1.18)</w:t>
                  </w:r>
                </w:p>
              </w:tc>
            </w:tr>
          </w:tbl>
          <w:p w14:paraId="3AB13D55" w14:textId="77777777" w:rsidR="00D600B8" w:rsidRPr="008D5DCD" w:rsidRDefault="00D600B8" w:rsidP="002E6182">
            <w:pPr>
              <w:rPr>
                <w:rFonts w:ascii="Helvetica" w:hAnsi="Helvetica" w:cs="Helvetica"/>
              </w:rPr>
            </w:pPr>
          </w:p>
        </w:tc>
      </w:tr>
    </w:tbl>
    <w:p w14:paraId="46A3FFD8" w14:textId="426C3143" w:rsidR="0057648F" w:rsidRPr="008D5DCD" w:rsidRDefault="003E76CD">
      <w:pPr>
        <w:pStyle w:val="Default"/>
        <w:rPr>
          <w:rFonts w:ascii="Helvetica" w:hAnsi="Helvetica"/>
          <w:sz w:val="24"/>
          <w:szCs w:val="24"/>
          <w:u w:color="000000"/>
        </w:rPr>
      </w:pPr>
      <w:r w:rsidRPr="008D5DCD">
        <w:rPr>
          <w:rFonts w:ascii="Helvetica" w:hAnsi="Helvetica"/>
          <w:sz w:val="24"/>
          <w:szCs w:val="24"/>
          <w:u w:color="000000"/>
        </w:rPr>
        <w:t>Variables used for exact matching were age in year</w:t>
      </w:r>
      <w:r w:rsidR="0057648F" w:rsidRPr="008D5DCD">
        <w:rPr>
          <w:rFonts w:ascii="Helvetica" w:hAnsi="Helvetica"/>
          <w:sz w:val="24"/>
          <w:szCs w:val="24"/>
          <w:u w:color="000000"/>
        </w:rPr>
        <w:t>s, anesthesia basic unit value for</w:t>
      </w:r>
      <w:r w:rsidR="00D600B8" w:rsidRPr="008D5DCD">
        <w:rPr>
          <w:rFonts w:ascii="Helvetica" w:hAnsi="Helvetica"/>
          <w:sz w:val="24"/>
          <w:szCs w:val="24"/>
          <w:u w:color="000000"/>
        </w:rPr>
        <w:t xml:space="preserve"> </w:t>
      </w:r>
    </w:p>
    <w:p w14:paraId="41F36D2D" w14:textId="2DF59BF1" w:rsidR="00455642" w:rsidRPr="008D5DCD" w:rsidRDefault="00D600B8">
      <w:pPr>
        <w:pStyle w:val="Default"/>
        <w:rPr>
          <w:rFonts w:ascii="Helvetica" w:eastAsia="Times New Roman" w:hAnsi="Helvetica" w:cs="Times New Roman"/>
          <w:sz w:val="24"/>
          <w:szCs w:val="24"/>
          <w:u w:color="000000"/>
        </w:rPr>
      </w:pPr>
      <w:r w:rsidRPr="008D5DCD">
        <w:rPr>
          <w:rFonts w:ascii="Helvetica" w:hAnsi="Helvetica"/>
          <w:sz w:val="24"/>
          <w:szCs w:val="24"/>
          <w:u w:color="000000"/>
        </w:rPr>
        <w:t>the surgical procedure</w:t>
      </w:r>
      <w:r w:rsidR="003E76CD" w:rsidRPr="008D5DCD">
        <w:rPr>
          <w:rFonts w:ascii="Helvetica" w:hAnsi="Helvetica"/>
          <w:sz w:val="24"/>
          <w:szCs w:val="24"/>
          <w:u w:color="000000"/>
        </w:rPr>
        <w:t xml:space="preserve">, median neighborhood household income, </w:t>
      </w:r>
      <w:r w:rsidRPr="008D5DCD">
        <w:rPr>
          <w:rFonts w:ascii="Helvetica" w:hAnsi="Helvetica"/>
          <w:sz w:val="24"/>
          <w:szCs w:val="24"/>
          <w:u w:color="000000"/>
        </w:rPr>
        <w:t>resource utilization band</w:t>
      </w:r>
      <w:r w:rsidR="003E76CD" w:rsidRPr="008D5DCD">
        <w:rPr>
          <w:rFonts w:ascii="Helvetica" w:hAnsi="Helvetica"/>
          <w:sz w:val="24"/>
          <w:szCs w:val="24"/>
          <w:u w:color="000000"/>
        </w:rPr>
        <w:t xml:space="preserve">, rural home location, year of </w:t>
      </w:r>
      <w:r w:rsidR="00B46966" w:rsidRPr="008D5DCD">
        <w:rPr>
          <w:rFonts w:ascii="Helvetica" w:hAnsi="Helvetica"/>
          <w:sz w:val="24"/>
          <w:szCs w:val="24"/>
          <w:u w:color="000000"/>
        </w:rPr>
        <w:t>admission</w:t>
      </w:r>
      <w:r w:rsidRPr="008D5DCD">
        <w:rPr>
          <w:rFonts w:ascii="Helvetica" w:hAnsi="Helvetica"/>
          <w:sz w:val="24"/>
          <w:szCs w:val="24"/>
          <w:u w:color="000000"/>
        </w:rPr>
        <w:t xml:space="preserve">, and urgency of admission. </w:t>
      </w:r>
      <w:r w:rsidR="003E76CD" w:rsidRPr="008D5DCD">
        <w:rPr>
          <w:rFonts w:ascii="Helvetica" w:hAnsi="Helvetica"/>
          <w:sz w:val="24"/>
          <w:szCs w:val="24"/>
          <w:u w:color="000000"/>
        </w:rPr>
        <w:t>Covariates adjusted for in models were Charlson Comorbidity Index, Local Health Integrated Network, sex, teaching hospital status, mortality risk score, preoperative special care unit admission, and responsible surgical service.</w:t>
      </w:r>
    </w:p>
    <w:p w14:paraId="32B02B32" w14:textId="6BDB0038" w:rsidR="00455642" w:rsidRPr="008D5DCD" w:rsidRDefault="00B46966">
      <w:pPr>
        <w:pStyle w:val="Default"/>
        <w:rPr>
          <w:rFonts w:ascii="Helvetica" w:eastAsia="Helvetica" w:hAnsi="Helvetica" w:cs="Helvetica"/>
          <w:sz w:val="24"/>
          <w:szCs w:val="24"/>
          <w:u w:color="000000"/>
        </w:rPr>
      </w:pPr>
      <w:r w:rsidRPr="008D5DCD">
        <w:rPr>
          <w:rFonts w:ascii="Helvetica" w:hAnsi="Helvetica"/>
          <w:sz w:val="24"/>
          <w:szCs w:val="24"/>
          <w:u w:color="000000"/>
          <w:vertAlign w:val="superscript"/>
        </w:rPr>
        <w:t>a</w:t>
      </w:r>
      <w:r w:rsidR="003E76CD" w:rsidRPr="008D5DCD">
        <w:rPr>
          <w:rFonts w:ascii="Helvetica" w:hAnsi="Helvetica"/>
          <w:sz w:val="24"/>
          <w:szCs w:val="24"/>
          <w:u w:color="000000"/>
        </w:rPr>
        <w:t>Not adjusted for Local Health Integrated Network and responsible surgical service due to lack of model convergence.</w:t>
      </w:r>
    </w:p>
    <w:p w14:paraId="2B75DA75" w14:textId="7C5EC46E" w:rsidR="0031166F" w:rsidRPr="008D5DCD" w:rsidRDefault="00B46966" w:rsidP="0031166F">
      <w:pPr>
        <w:pStyle w:val="Default"/>
        <w:rPr>
          <w:rFonts w:ascii="Helvetica" w:eastAsia="Helvetica" w:hAnsi="Helvetica" w:cs="Helvetica"/>
          <w:sz w:val="24"/>
          <w:szCs w:val="24"/>
          <w:u w:color="000000"/>
        </w:rPr>
      </w:pPr>
      <w:r w:rsidRPr="008D5DCD">
        <w:rPr>
          <w:rFonts w:ascii="Helvetica" w:hAnsi="Helvetica"/>
          <w:sz w:val="24"/>
          <w:szCs w:val="24"/>
          <w:u w:color="000000"/>
          <w:vertAlign w:val="superscript"/>
        </w:rPr>
        <w:t>b</w:t>
      </w:r>
      <w:r w:rsidR="0031166F" w:rsidRPr="008D5DCD">
        <w:rPr>
          <w:rFonts w:ascii="Helvetica" w:hAnsi="Helvetica"/>
          <w:sz w:val="24"/>
          <w:szCs w:val="24"/>
          <w:u w:color="000000"/>
        </w:rPr>
        <w:t>Not adjusted for responsible surgical service due to lack of model convergence.</w:t>
      </w:r>
    </w:p>
    <w:bookmarkEnd w:id="0"/>
    <w:p w14:paraId="634A844E" w14:textId="77777777" w:rsidR="00455642" w:rsidRPr="008D5DCD" w:rsidRDefault="00455642">
      <w:pPr>
        <w:pStyle w:val="Default"/>
        <w:rPr>
          <w:rFonts w:ascii="Helvetica" w:hAnsi="Helvetica"/>
        </w:rPr>
      </w:pPr>
    </w:p>
    <w:sectPr w:rsidR="00455642" w:rsidRPr="008D5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D892" w14:textId="77777777" w:rsidR="002E6D9F" w:rsidRDefault="002E6D9F">
      <w:r>
        <w:separator/>
      </w:r>
    </w:p>
  </w:endnote>
  <w:endnote w:type="continuationSeparator" w:id="0">
    <w:p w14:paraId="2E43FF4B" w14:textId="77777777" w:rsidR="002E6D9F" w:rsidRDefault="002E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7B5F" w14:textId="77777777" w:rsidR="00D600B8" w:rsidRDefault="00D60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3D718" w14:textId="77777777" w:rsidR="00455642" w:rsidRDefault="004556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1BBE" w14:textId="77777777" w:rsidR="00D600B8" w:rsidRDefault="00D60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3428" w14:textId="77777777" w:rsidR="002E6D9F" w:rsidRDefault="002E6D9F">
      <w:r>
        <w:separator/>
      </w:r>
    </w:p>
  </w:footnote>
  <w:footnote w:type="continuationSeparator" w:id="0">
    <w:p w14:paraId="06D70B72" w14:textId="77777777" w:rsidR="002E6D9F" w:rsidRDefault="002E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15E8" w14:textId="77777777" w:rsidR="00D600B8" w:rsidRDefault="00D60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D22C" w14:textId="77777777" w:rsidR="00455642" w:rsidRDefault="004556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3314" w14:textId="77777777" w:rsidR="00D600B8" w:rsidRDefault="00D60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42"/>
    <w:rsid w:val="000E7D42"/>
    <w:rsid w:val="00225539"/>
    <w:rsid w:val="0024583C"/>
    <w:rsid w:val="002E6D9F"/>
    <w:rsid w:val="0031166F"/>
    <w:rsid w:val="003E76CD"/>
    <w:rsid w:val="00455642"/>
    <w:rsid w:val="0047114A"/>
    <w:rsid w:val="00563328"/>
    <w:rsid w:val="0057648F"/>
    <w:rsid w:val="00646C27"/>
    <w:rsid w:val="006E6F6D"/>
    <w:rsid w:val="00713F66"/>
    <w:rsid w:val="00753C0D"/>
    <w:rsid w:val="008D5DCD"/>
    <w:rsid w:val="00AA5DC1"/>
    <w:rsid w:val="00B46966"/>
    <w:rsid w:val="00D600B8"/>
    <w:rsid w:val="00D632E0"/>
    <w:rsid w:val="00DA489A"/>
    <w:rsid w:val="00D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00B62"/>
  <w15:docId w15:val="{7F8BE635-B28B-4643-9351-8F543C49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60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B8"/>
    <w:rPr>
      <w:sz w:val="24"/>
      <w:szCs w:val="24"/>
    </w:rPr>
  </w:style>
  <w:style w:type="paragraph" w:customStyle="1" w:styleId="BodyB">
    <w:name w:val="Body B"/>
    <w:rsid w:val="005764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Dvorani, Erind</dc:creator>
  <cp:lastModifiedBy>James O'Leary</cp:lastModifiedBy>
  <cp:revision>6</cp:revision>
  <dcterms:created xsi:type="dcterms:W3CDTF">2018-11-30T13:24:00Z</dcterms:created>
  <dcterms:modified xsi:type="dcterms:W3CDTF">2018-12-27T21:11:00Z</dcterms:modified>
</cp:coreProperties>
</file>