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D95197" w14:textId="3BF506DF" w:rsidR="00F26980" w:rsidRPr="00CF7F99" w:rsidRDefault="00B35469">
      <w:pPr>
        <w:pStyle w:val="BodyA"/>
        <w:rPr>
          <w:sz w:val="24"/>
          <w:szCs w:val="24"/>
        </w:rPr>
      </w:pPr>
      <w:bookmarkStart w:id="0" w:name="_Hlk491778213"/>
      <w:bookmarkStart w:id="1" w:name="_GoBack"/>
      <w:r w:rsidRPr="00CF7F99">
        <w:rPr>
          <w:rFonts w:eastAsia="Arial Unicode MS" w:cs="Arial Unicode MS"/>
          <w:b/>
          <w:bCs/>
          <w:sz w:val="24"/>
          <w:szCs w:val="24"/>
        </w:rPr>
        <w:t>S</w:t>
      </w:r>
      <w:r w:rsidR="00887A51" w:rsidRPr="00CF7F99">
        <w:rPr>
          <w:rFonts w:eastAsia="Arial Unicode MS" w:cs="Arial Unicode MS"/>
          <w:b/>
          <w:bCs/>
          <w:sz w:val="24"/>
          <w:szCs w:val="24"/>
        </w:rPr>
        <w:t>8</w:t>
      </w:r>
      <w:r w:rsidRPr="00CF7F99">
        <w:rPr>
          <w:rFonts w:eastAsia="Arial Unicode MS" w:cs="Arial Unicode MS"/>
          <w:b/>
          <w:bCs/>
          <w:sz w:val="24"/>
          <w:szCs w:val="24"/>
        </w:rPr>
        <w:t xml:space="preserve"> Table.</w:t>
      </w:r>
      <w:r w:rsidRPr="00CF7F99">
        <w:rPr>
          <w:rFonts w:eastAsia="Arial Unicode MS" w:cs="Arial Unicode MS"/>
          <w:sz w:val="24"/>
          <w:szCs w:val="24"/>
        </w:rPr>
        <w:t xml:space="preserve"> Characteristics of urgent admissions included in the matched cohorts, classified by day of surgery (weekend </w:t>
      </w:r>
      <w:r w:rsidR="001B7285" w:rsidRPr="00CF7F99">
        <w:rPr>
          <w:rFonts w:eastAsia="Arial Unicode MS" w:cs="Arial Unicode MS"/>
          <w:sz w:val="24"/>
          <w:szCs w:val="24"/>
        </w:rPr>
        <w:t>or</w:t>
      </w:r>
      <w:r w:rsidRPr="00CF7F99">
        <w:rPr>
          <w:rFonts w:eastAsia="Arial Unicode MS" w:cs="Arial Unicode MS"/>
          <w:sz w:val="24"/>
          <w:szCs w:val="24"/>
        </w:rPr>
        <w:t xml:space="preserve"> weekday).</w:t>
      </w:r>
    </w:p>
    <w:tbl>
      <w:tblPr>
        <w:tblW w:w="126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7"/>
        <w:gridCol w:w="1620"/>
        <w:gridCol w:w="1716"/>
        <w:gridCol w:w="872"/>
        <w:gridCol w:w="2098"/>
        <w:gridCol w:w="1816"/>
        <w:gridCol w:w="957"/>
      </w:tblGrid>
      <w:tr w:rsidR="00F26980" w:rsidRPr="00CF7F99" w14:paraId="507E5336" w14:textId="77777777" w:rsidTr="0022632E">
        <w:trPr>
          <w:trHeight w:val="1050"/>
        </w:trPr>
        <w:tc>
          <w:tcPr>
            <w:tcW w:w="35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BF6FB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Characteristic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ECEF4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Weekend admission and surgery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64354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Weekday admission and surgery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1BB70" w14:textId="77777777" w:rsidR="00F26980" w:rsidRPr="00CF7F99" w:rsidRDefault="00F26980">
            <w:pPr>
              <w:rPr>
                <w:rFonts w:ascii="Helvetica" w:hAnsi="Helvetica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0B44B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Weekend admission and weekday surgery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17DC9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Weekday admission and surgery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34801" w14:textId="77777777" w:rsidR="00F26980" w:rsidRPr="00CF7F99" w:rsidRDefault="00F26980">
            <w:pPr>
              <w:rPr>
                <w:rFonts w:ascii="Helvetica" w:hAnsi="Helvetica"/>
              </w:rPr>
            </w:pPr>
          </w:p>
        </w:tc>
      </w:tr>
      <w:tr w:rsidR="00F26980" w:rsidRPr="00CF7F99" w14:paraId="13ED6507" w14:textId="77777777" w:rsidTr="0022632E">
        <w:trPr>
          <w:trHeight w:val="330"/>
        </w:trPr>
        <w:tc>
          <w:tcPr>
            <w:tcW w:w="35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94B1A68" w14:textId="77777777" w:rsidR="00F26980" w:rsidRPr="00CF7F99" w:rsidRDefault="00F26980">
            <w:pPr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0CED0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n = 79,339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AE2E5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n = 79,339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F433B" w14:textId="27F5112A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P</w:t>
            </w:r>
            <w:r w:rsidR="004C473B" w:rsidRPr="00CF7F99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318AE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n = 53,890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6BAEF" w14:textId="77777777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n = 53,890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E0FB5" w14:textId="0A232B8F" w:rsidR="00F26980" w:rsidRPr="00CF7F99" w:rsidRDefault="00B35469">
            <w:pPr>
              <w:pStyle w:val="TableStyle2A"/>
            </w:pPr>
            <w:r w:rsidRPr="00CF7F99">
              <w:rPr>
                <w:b/>
                <w:bCs/>
                <w:sz w:val="22"/>
                <w:szCs w:val="22"/>
              </w:rPr>
              <w:t>P</w:t>
            </w:r>
            <w:r w:rsidR="005D53E4" w:rsidRPr="00CF7F99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F26980" w:rsidRPr="00CF7F99" w14:paraId="44FEF4FC" w14:textId="77777777" w:rsidTr="0022632E">
        <w:trPr>
          <w:trHeight w:val="1060"/>
        </w:trPr>
        <w:tc>
          <w:tcPr>
            <w:tcW w:w="3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81F5" w14:textId="77777777" w:rsidR="00F26980" w:rsidRPr="00CF7F99" w:rsidRDefault="00B35469">
            <w:pPr>
              <w:pStyle w:val="TableStyle2A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 xml:space="preserve">Age category, </w:t>
            </w:r>
            <w:r w:rsidRPr="00CF7F99">
              <w:rPr>
                <w:i/>
                <w:iCs/>
                <w:sz w:val="22"/>
                <w:szCs w:val="22"/>
              </w:rPr>
              <w:t>n(%)</w:t>
            </w:r>
          </w:p>
          <w:p w14:paraId="400B4143" w14:textId="77777777" w:rsidR="00F26980" w:rsidRPr="00CF7F99" w:rsidRDefault="00B35469">
            <w:pPr>
              <w:pStyle w:val="ListBullet3"/>
              <w:tabs>
                <w:tab w:val="left" w:pos="1078"/>
              </w:tabs>
              <w:ind w:left="0" w:firstLine="283"/>
              <w:rPr>
                <w:rFonts w:ascii="Helvetica" w:eastAsia="Helvetica" w:hAnsi="Helvetica" w:cs="Helvetica"/>
                <w:sz w:val="22"/>
                <w:szCs w:val="22"/>
              </w:rPr>
            </w:pPr>
            <w:r w:rsidRPr="00CF7F99">
              <w:rPr>
                <w:rFonts w:ascii="Helvetica" w:hAnsi="Helvetica"/>
                <w:sz w:val="22"/>
                <w:szCs w:val="22"/>
              </w:rPr>
              <w:t xml:space="preserve">18 to 49 </w:t>
            </w:r>
            <w:proofErr w:type="spellStart"/>
            <w:r w:rsidRPr="00CF7F99">
              <w:rPr>
                <w:rFonts w:ascii="Helvetica" w:hAnsi="Helvetica"/>
                <w:sz w:val="22"/>
                <w:szCs w:val="22"/>
              </w:rPr>
              <w:t>yr</w:t>
            </w:r>
            <w:proofErr w:type="spellEnd"/>
          </w:p>
          <w:p w14:paraId="0AD37618" w14:textId="77777777" w:rsidR="00F26980" w:rsidRPr="00CF7F99" w:rsidRDefault="00B35469">
            <w:pPr>
              <w:pStyle w:val="ListBullet3"/>
              <w:tabs>
                <w:tab w:val="left" w:pos="1078"/>
              </w:tabs>
              <w:ind w:left="0" w:firstLine="283"/>
              <w:rPr>
                <w:rFonts w:ascii="Helvetica" w:eastAsia="Helvetica" w:hAnsi="Helvetica" w:cs="Helvetica"/>
                <w:sz w:val="22"/>
                <w:szCs w:val="22"/>
              </w:rPr>
            </w:pPr>
            <w:r w:rsidRPr="00CF7F99">
              <w:rPr>
                <w:rFonts w:ascii="Helvetica" w:hAnsi="Helvetica"/>
                <w:sz w:val="22"/>
                <w:szCs w:val="22"/>
              </w:rPr>
              <w:t xml:space="preserve">50 to 64 </w:t>
            </w:r>
            <w:proofErr w:type="spellStart"/>
            <w:r w:rsidRPr="00CF7F99">
              <w:rPr>
                <w:rFonts w:ascii="Helvetica" w:hAnsi="Helvetica"/>
                <w:sz w:val="22"/>
                <w:szCs w:val="22"/>
              </w:rPr>
              <w:t>yr</w:t>
            </w:r>
            <w:proofErr w:type="spellEnd"/>
          </w:p>
          <w:p w14:paraId="6D662685" w14:textId="77777777" w:rsidR="00F26980" w:rsidRPr="00CF7F99" w:rsidRDefault="00B35469">
            <w:pPr>
              <w:pStyle w:val="ListBullet3"/>
              <w:tabs>
                <w:tab w:val="left" w:pos="1078"/>
              </w:tabs>
              <w:ind w:left="0" w:firstLine="283"/>
              <w:rPr>
                <w:rFonts w:ascii="Helvetica" w:hAnsi="Helvetica"/>
              </w:rPr>
            </w:pPr>
            <w:r w:rsidRPr="00CF7F99">
              <w:rPr>
                <w:rFonts w:ascii="Helvetica" w:hAnsi="Helvetica"/>
                <w:sz w:val="22"/>
                <w:szCs w:val="22"/>
              </w:rPr>
              <w:t xml:space="preserve">≥65 </w:t>
            </w:r>
            <w:proofErr w:type="spellStart"/>
            <w:r w:rsidRPr="00CF7F99">
              <w:rPr>
                <w:rFonts w:ascii="Helvetica" w:hAnsi="Helvetica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B82D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02065391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35,147 (44.3)</w:t>
            </w:r>
          </w:p>
          <w:p w14:paraId="47C0A48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17,491 (22.0)</w:t>
            </w:r>
          </w:p>
          <w:p w14:paraId="4474275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26,701 (33.7)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895F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5043E2C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35,121 (44.3)</w:t>
            </w:r>
          </w:p>
          <w:p w14:paraId="575F7090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17,503 (22.1)</w:t>
            </w:r>
          </w:p>
          <w:p w14:paraId="036E2BB8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26,715 (33.7)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D86F" w14:textId="798B5474" w:rsidR="00F26980" w:rsidRPr="00CF7F99" w:rsidRDefault="00BF74AA" w:rsidP="0022632E">
            <w:pPr>
              <w:pStyle w:val="BodyA"/>
            </w:pPr>
            <w:r w:rsidRPr="00CF7F99">
              <w:t>NA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E2B5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71FBFF0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14,285 (26.5)</w:t>
            </w:r>
          </w:p>
          <w:p w14:paraId="6B74E353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11,533 (21.4)</w:t>
            </w:r>
          </w:p>
          <w:p w14:paraId="7E41D12C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28,072 (52.1)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8616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01DED2A3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14,265 (26.5)</w:t>
            </w:r>
          </w:p>
          <w:p w14:paraId="5C43661E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11,556 (21.4)</w:t>
            </w:r>
          </w:p>
          <w:p w14:paraId="20B181DE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28,069 (52.1)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DA85" w14:textId="7133E60A" w:rsidR="00F26980" w:rsidRPr="00CF7F99" w:rsidRDefault="00BF74AA" w:rsidP="0022632E">
            <w:pPr>
              <w:pStyle w:val="BodyA"/>
            </w:pPr>
            <w:r w:rsidRPr="00CF7F99">
              <w:t>NA</w:t>
            </w:r>
          </w:p>
        </w:tc>
      </w:tr>
      <w:tr w:rsidR="00F26980" w:rsidRPr="00CF7F99" w14:paraId="3AF6BEE6" w14:textId="77777777" w:rsidTr="0022632E">
        <w:trPr>
          <w:trHeight w:val="28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4B21" w14:textId="77777777" w:rsidR="00F26980" w:rsidRPr="00CF7F99" w:rsidRDefault="00B35469">
            <w:pPr>
              <w:pStyle w:val="TableStyle2A"/>
            </w:pPr>
            <w:r w:rsidRPr="00CF7F99">
              <w:rPr>
                <w:sz w:val="22"/>
                <w:szCs w:val="22"/>
                <w:lang w:val="nl-NL"/>
              </w:rPr>
              <w:t>Male</w:t>
            </w:r>
            <w:r w:rsidRPr="00CF7F99">
              <w:rPr>
                <w:sz w:val="22"/>
                <w:szCs w:val="22"/>
              </w:rPr>
              <w:t xml:space="preserve">, </w:t>
            </w:r>
            <w:r w:rsidRPr="00CF7F99">
              <w:rPr>
                <w:i/>
                <w:iCs/>
                <w:sz w:val="22"/>
                <w:szCs w:val="22"/>
              </w:rPr>
              <w:t>n(%)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F3D2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38,265 (48.2)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C06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38,136 (48.1)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94F8" w14:textId="77777777" w:rsidR="00F26980" w:rsidRPr="00CF7F99" w:rsidRDefault="00B35469" w:rsidP="0022632E">
            <w:pPr>
              <w:pStyle w:val="BodyA"/>
            </w:pPr>
            <w:r w:rsidRPr="00CF7F99">
              <w:t>&lt;0.001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C35D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24,424 (45.3)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9563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24,707 (45.8)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BF31" w14:textId="77777777" w:rsidR="00F26980" w:rsidRPr="00CF7F99" w:rsidRDefault="00B35469" w:rsidP="0022632E">
            <w:pPr>
              <w:pStyle w:val="BodyA"/>
            </w:pPr>
            <w:r w:rsidRPr="00CF7F99">
              <w:t>&lt;0.001</w:t>
            </w:r>
          </w:p>
        </w:tc>
      </w:tr>
      <w:tr w:rsidR="00F26980" w:rsidRPr="00CF7F99" w14:paraId="062E99F0" w14:textId="77777777" w:rsidTr="0022632E">
        <w:trPr>
          <w:trHeight w:val="208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6063" w14:textId="77777777" w:rsidR="00F26980" w:rsidRPr="00CF7F99" w:rsidRDefault="00B35469">
            <w:pPr>
              <w:pStyle w:val="TableStyle2A"/>
              <w:rPr>
                <w:i/>
                <w:iCs/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 xml:space="preserve">Median neighborhood income quintile, </w:t>
            </w:r>
            <w:r w:rsidRPr="00CF7F99">
              <w:rPr>
                <w:i/>
                <w:iCs/>
                <w:sz w:val="22"/>
                <w:szCs w:val="22"/>
              </w:rPr>
              <w:t>n(%)</w:t>
            </w:r>
          </w:p>
          <w:p w14:paraId="3AAC7FD8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Missing</w:t>
            </w:r>
          </w:p>
          <w:p w14:paraId="06B15F0F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1 - lowest</w:t>
            </w:r>
          </w:p>
          <w:p w14:paraId="5D9870E7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</w:t>
            </w:r>
          </w:p>
          <w:p w14:paraId="3C303F6F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3</w:t>
            </w:r>
          </w:p>
          <w:p w14:paraId="21FE6649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4</w:t>
            </w:r>
          </w:p>
          <w:p w14:paraId="37A6B3A5" w14:textId="77777777" w:rsidR="00F26980" w:rsidRPr="00CF7F99" w:rsidRDefault="00B35469">
            <w:pPr>
              <w:pStyle w:val="TableStyle2A"/>
              <w:ind w:firstLine="283"/>
            </w:pPr>
            <w:r w:rsidRPr="00CF7F9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9277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5B6DAAAF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1939D20B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39 (0.0)</w:t>
            </w:r>
          </w:p>
          <w:p w14:paraId="5A3BBAF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16,749 (21.1)</w:t>
            </w:r>
          </w:p>
          <w:p w14:paraId="4081C20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16,239 (20.5)</w:t>
            </w:r>
          </w:p>
          <w:p w14:paraId="4CFD1D8C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15,678 (19.8)</w:t>
            </w:r>
          </w:p>
          <w:p w14:paraId="256354A2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15,867 (20.0)</w:t>
            </w:r>
          </w:p>
          <w:p w14:paraId="6EB29D58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14,767 (18.6)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38A5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41C8FF90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5701072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39 (0.0)</w:t>
            </w:r>
          </w:p>
          <w:p w14:paraId="5D7D880A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16,749 (21.1)</w:t>
            </w:r>
          </w:p>
          <w:p w14:paraId="33D8CC0A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16,239 (20.5)</w:t>
            </w:r>
          </w:p>
          <w:p w14:paraId="1F185E6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15,678 (19.8)</w:t>
            </w:r>
          </w:p>
          <w:p w14:paraId="04EA1C77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15,867 (20.0)</w:t>
            </w:r>
          </w:p>
          <w:p w14:paraId="2452B78E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14,767 (18.6)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9084" w14:textId="77777777" w:rsidR="00F26980" w:rsidRPr="00CF7F99" w:rsidRDefault="00F26980" w:rsidP="0022632E">
            <w:pPr>
              <w:pStyle w:val="BodyA"/>
            </w:pPr>
          </w:p>
          <w:p w14:paraId="24ACC7D6" w14:textId="6F0D103B" w:rsidR="00F26980" w:rsidRPr="00CF7F99" w:rsidRDefault="00BF74AA" w:rsidP="0022632E">
            <w:pPr>
              <w:pStyle w:val="BodyA"/>
            </w:pPr>
            <w:r w:rsidRPr="00CF7F99">
              <w:t>NA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12D8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738EA17D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41D61B0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35 (0.1)</w:t>
            </w:r>
          </w:p>
          <w:p w14:paraId="4DD743CA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12,285 (22.8)</w:t>
            </w:r>
          </w:p>
          <w:p w14:paraId="5650865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10,996 (20.4)</w:t>
            </w:r>
          </w:p>
          <w:p w14:paraId="6A3E3E92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10,393 (19.3)</w:t>
            </w:r>
          </w:p>
          <w:p w14:paraId="70F3631E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10,542 (19.6)</w:t>
            </w:r>
          </w:p>
          <w:p w14:paraId="442E6E4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9,639 (17.9)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A2A4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7E4E5487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1E0DAEEA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35 (0.1)</w:t>
            </w:r>
          </w:p>
          <w:p w14:paraId="0DFC01D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12,285 (22.8)</w:t>
            </w:r>
          </w:p>
          <w:p w14:paraId="17DEEC0C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10,996 (20.4)</w:t>
            </w:r>
          </w:p>
          <w:p w14:paraId="5E124D8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10,393 (19.3)</w:t>
            </w:r>
          </w:p>
          <w:p w14:paraId="7F34B3E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10,542 (19.6)</w:t>
            </w:r>
          </w:p>
          <w:p w14:paraId="23E62419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9,639 (17.9)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86B5" w14:textId="77777777" w:rsidR="00F26980" w:rsidRPr="00CF7F99" w:rsidRDefault="00F26980" w:rsidP="0022632E">
            <w:pPr>
              <w:pStyle w:val="BodyA"/>
            </w:pPr>
          </w:p>
          <w:p w14:paraId="5553AD5D" w14:textId="63349859" w:rsidR="00F26980" w:rsidRPr="00CF7F99" w:rsidRDefault="00BF74AA" w:rsidP="0022632E">
            <w:pPr>
              <w:pStyle w:val="BodyA"/>
            </w:pPr>
            <w:r w:rsidRPr="00CF7F99">
              <w:t>NA</w:t>
            </w:r>
          </w:p>
        </w:tc>
      </w:tr>
      <w:tr w:rsidR="00F26980" w:rsidRPr="00CF7F99" w14:paraId="0D6A3AB5" w14:textId="77777777" w:rsidTr="0022632E">
        <w:trPr>
          <w:trHeight w:val="30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34CC" w14:textId="77777777" w:rsidR="00F26980" w:rsidRPr="00CF7F99" w:rsidRDefault="00B35469">
            <w:pPr>
              <w:pStyle w:val="TableStyle2A"/>
            </w:pPr>
            <w:r w:rsidRPr="00CF7F99">
              <w:rPr>
                <w:sz w:val="22"/>
                <w:szCs w:val="22"/>
              </w:rPr>
              <w:t>Rural home location,</w:t>
            </w:r>
            <w:r w:rsidRPr="00CF7F99">
              <w:rPr>
                <w:i/>
                <w:iCs/>
                <w:sz w:val="22"/>
                <w:szCs w:val="22"/>
              </w:rPr>
              <w:t xml:space="preserve"> n(%)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612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5,253 (6.6)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113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5,253 (6.6)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C86" w14:textId="73C58457" w:rsidR="00F26980" w:rsidRPr="00CF7F99" w:rsidRDefault="00BF74AA" w:rsidP="0022632E">
            <w:pPr>
              <w:pStyle w:val="BodyA"/>
            </w:pPr>
            <w:r w:rsidRPr="00CF7F99">
              <w:t>NA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B20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3,722 (6.9)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B7D3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3,722 (6.9)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F358" w14:textId="7B730107" w:rsidR="00F26980" w:rsidRPr="00CF7F99" w:rsidRDefault="00BF74AA" w:rsidP="0022632E">
            <w:pPr>
              <w:pStyle w:val="BodyA"/>
            </w:pPr>
            <w:r w:rsidRPr="00CF7F99">
              <w:t>NA</w:t>
            </w:r>
          </w:p>
        </w:tc>
      </w:tr>
      <w:tr w:rsidR="00F26980" w:rsidRPr="00CF7F99" w14:paraId="43DF72CF" w14:textId="77777777" w:rsidTr="00FB16CA">
        <w:trPr>
          <w:trHeight w:val="208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ED06" w14:textId="31F4080F" w:rsidR="00F26980" w:rsidRPr="00CF7F99" w:rsidRDefault="00B35469">
            <w:pPr>
              <w:pStyle w:val="TableStyle2A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 xml:space="preserve">Resource utilization </w:t>
            </w:r>
            <w:proofErr w:type="spellStart"/>
            <w:r w:rsidRPr="00CF7F99">
              <w:rPr>
                <w:sz w:val="22"/>
                <w:szCs w:val="22"/>
              </w:rPr>
              <w:t>band</w:t>
            </w:r>
            <w:r w:rsidR="005D53E4" w:rsidRPr="00CF7F99">
              <w:rPr>
                <w:sz w:val="24"/>
                <w:szCs w:val="24"/>
                <w:vertAlign w:val="superscript"/>
              </w:rPr>
              <w:t>b</w:t>
            </w:r>
            <w:proofErr w:type="spellEnd"/>
            <w:r w:rsidRPr="00CF7F99">
              <w:rPr>
                <w:sz w:val="22"/>
                <w:szCs w:val="22"/>
              </w:rPr>
              <w:t xml:space="preserve">, </w:t>
            </w:r>
            <w:r w:rsidRPr="00CF7F99">
              <w:rPr>
                <w:i/>
                <w:iCs/>
                <w:sz w:val="22"/>
                <w:szCs w:val="22"/>
              </w:rPr>
              <w:t>n(%)</w:t>
            </w:r>
          </w:p>
          <w:p w14:paraId="1E43CCA8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0 - lowest</w:t>
            </w:r>
          </w:p>
          <w:p w14:paraId="2A0F1BD4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1</w:t>
            </w:r>
          </w:p>
          <w:p w14:paraId="20AB62D8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</w:t>
            </w:r>
          </w:p>
          <w:p w14:paraId="69FBAF3D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3</w:t>
            </w:r>
          </w:p>
          <w:p w14:paraId="777EAEE4" w14:textId="77777777" w:rsidR="00F26980" w:rsidRPr="00CF7F99" w:rsidRDefault="00B35469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4</w:t>
            </w:r>
          </w:p>
          <w:p w14:paraId="52086B12" w14:textId="77777777" w:rsidR="00F26980" w:rsidRPr="00CF7F99" w:rsidRDefault="00B35469">
            <w:pPr>
              <w:pStyle w:val="TableStyle2A"/>
              <w:ind w:firstLine="283"/>
            </w:pPr>
            <w:r w:rsidRPr="00CF7F9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7053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7DF5C5D0" w14:textId="507DD68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≤5 (S)</w:t>
            </w:r>
          </w:p>
          <w:p w14:paraId="58B2C9E0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7-11 (S)</w:t>
            </w:r>
          </w:p>
          <w:p w14:paraId="5DF7866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5,878 (7.4)</w:t>
            </w:r>
          </w:p>
          <w:p w14:paraId="7BEB995E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29,584 (37.3)</w:t>
            </w:r>
          </w:p>
          <w:p w14:paraId="1867B2B2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21,318 (26.9)</w:t>
            </w:r>
          </w:p>
          <w:p w14:paraId="5D3F20C4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22,548 (28.4)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F1B1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58072B8A" w14:textId="4ED56DC1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≤5 (S</w:t>
            </w:r>
            <w:r w:rsidR="0022632E"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)</w:t>
            </w:r>
          </w:p>
          <w:p w14:paraId="261E23AD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7-11 (S)</w:t>
            </w:r>
          </w:p>
          <w:p w14:paraId="6D4B75D1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5,878 (7.4)</w:t>
            </w:r>
          </w:p>
          <w:p w14:paraId="02F3C831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29,584 (37.3)</w:t>
            </w:r>
          </w:p>
          <w:p w14:paraId="5D53BD9D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21,318 (26.9)</w:t>
            </w:r>
          </w:p>
          <w:p w14:paraId="709E2A9E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22,548 (28.4)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E86A" w14:textId="65B41503" w:rsidR="00F26980" w:rsidRPr="00CF7F99" w:rsidRDefault="00BF74AA" w:rsidP="0022632E">
            <w:pPr>
              <w:pStyle w:val="BodyA"/>
            </w:pPr>
            <w:r w:rsidRPr="00CF7F99">
              <w:t>NA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11D7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437FFFF1" w14:textId="74A7DF54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0 (0.0)</w:t>
            </w:r>
          </w:p>
          <w:p w14:paraId="208AA7E1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0 (0.0)</w:t>
            </w:r>
          </w:p>
          <w:p w14:paraId="025728BA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1,525 (2.8)</w:t>
            </w:r>
          </w:p>
          <w:p w14:paraId="64C20DB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13,734 (25.5)</w:t>
            </w:r>
          </w:p>
          <w:p w14:paraId="0394C40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14,607 (27.1)</w:t>
            </w:r>
          </w:p>
          <w:p w14:paraId="7D321BC2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24,024 (44.6)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D70B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3C8057E3" w14:textId="672F9DE9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0 (0.0)</w:t>
            </w:r>
          </w:p>
          <w:p w14:paraId="22B88119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0 (0.0)</w:t>
            </w:r>
          </w:p>
          <w:p w14:paraId="1B3D698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1,525 (2.8)</w:t>
            </w:r>
          </w:p>
          <w:p w14:paraId="1E0765B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13,734 (25.5)</w:t>
            </w:r>
          </w:p>
          <w:p w14:paraId="1CD71F37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14,607 (27.1)</w:t>
            </w:r>
          </w:p>
          <w:p w14:paraId="03D537C2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24,024 (44.6)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50EE" w14:textId="489704DB" w:rsidR="00F26980" w:rsidRPr="00CF7F99" w:rsidRDefault="00BF74AA" w:rsidP="0022632E">
            <w:pPr>
              <w:pStyle w:val="TableStyle2A"/>
            </w:pPr>
            <w:r w:rsidRPr="00CF7F99">
              <w:rPr>
                <w:sz w:val="22"/>
                <w:szCs w:val="22"/>
              </w:rPr>
              <w:t>NA</w:t>
            </w:r>
          </w:p>
        </w:tc>
      </w:tr>
      <w:tr w:rsidR="00F26980" w:rsidRPr="00CF7F99" w14:paraId="1C8D5FB9" w14:textId="77777777" w:rsidTr="00FB16CA">
        <w:trPr>
          <w:trHeight w:val="20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3973" w14:textId="77777777" w:rsidR="00F26980" w:rsidRPr="00CF7F99" w:rsidRDefault="00B35469">
            <w:pPr>
              <w:rPr>
                <w:rFonts w:ascii="Helvetica" w:eastAsia="Helvetica" w:hAnsi="Helvetica" w:cs="Helvetica"/>
                <w:color w:val="000000"/>
                <w:sz w:val="22"/>
                <w:szCs w:val="22"/>
                <w:u w:color="000000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lastRenderedPageBreak/>
              <w:t xml:space="preserve">Charlson Comorbidity Index, </w:t>
            </w:r>
            <w:r w:rsidRPr="00CF7F99">
              <w:rPr>
                <w:rFonts w:ascii="Helvetica" w:hAnsi="Helvetica" w:cs="Arial Unicode MS"/>
                <w:i/>
                <w:color w:val="000000"/>
                <w:sz w:val="22"/>
                <w:szCs w:val="22"/>
                <w:u w:color="000000"/>
              </w:rPr>
              <w:t>n</w:t>
            </w: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t>(%)</w:t>
            </w:r>
          </w:p>
          <w:p w14:paraId="4A5CF134" w14:textId="77777777" w:rsidR="00F26980" w:rsidRPr="00CF7F99" w:rsidRDefault="00B35469">
            <w:pPr>
              <w:ind w:left="283"/>
              <w:rPr>
                <w:rFonts w:ascii="Helvetica" w:eastAsia="Helvetica" w:hAnsi="Helvetica" w:cs="Helvetica"/>
                <w:color w:val="000000"/>
                <w:sz w:val="22"/>
                <w:szCs w:val="22"/>
                <w:u w:color="000000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t>0</w:t>
            </w:r>
          </w:p>
          <w:p w14:paraId="6A9E3E9D" w14:textId="77777777" w:rsidR="00F26980" w:rsidRPr="00CF7F99" w:rsidRDefault="00B35469">
            <w:pPr>
              <w:ind w:left="283"/>
              <w:rPr>
                <w:rFonts w:ascii="Helvetica" w:eastAsia="Helvetica" w:hAnsi="Helvetica" w:cs="Helvetica"/>
                <w:color w:val="000000"/>
                <w:sz w:val="22"/>
                <w:szCs w:val="22"/>
                <w:u w:color="000000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t>1</w:t>
            </w:r>
          </w:p>
          <w:p w14:paraId="53D50E5C" w14:textId="77777777" w:rsidR="00F26980" w:rsidRPr="00CF7F99" w:rsidRDefault="00B35469">
            <w:pPr>
              <w:ind w:left="283"/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t>≥2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CCE5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7A852F20" w14:textId="3A9E6BFF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64,240 (81.0)</w:t>
            </w:r>
          </w:p>
          <w:p w14:paraId="626DD8D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5,551 (7.0)</w:t>
            </w:r>
          </w:p>
          <w:p w14:paraId="2B24471C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9,548 (12.0)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CDF2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17918F6A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63,053 (79.5)</w:t>
            </w:r>
          </w:p>
          <w:p w14:paraId="46378876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5,573 (7.0)</w:t>
            </w:r>
          </w:p>
          <w:p w14:paraId="5B7ADE1F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10,713 (13.5)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4180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t>&lt;0.001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971A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5AE2A4D9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36,089 (67.0)</w:t>
            </w:r>
          </w:p>
          <w:p w14:paraId="43DB01F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5,496 (10.2)</w:t>
            </w:r>
          </w:p>
          <w:p w14:paraId="43E6E7C6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12,305 (22.8)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739F" w14:textId="77777777" w:rsidR="00F26980" w:rsidRPr="00CF7F99" w:rsidRDefault="00F26980" w:rsidP="0022632E">
            <w:pPr>
              <w:rPr>
                <w:rFonts w:ascii="Helvetica" w:hAnsi="Helvetica"/>
              </w:rPr>
            </w:pPr>
          </w:p>
          <w:p w14:paraId="6B9E4252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37,790 (70.1)</w:t>
            </w:r>
          </w:p>
          <w:p w14:paraId="31634065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5,200 (9.6)</w:t>
            </w:r>
          </w:p>
          <w:p w14:paraId="47AA3F3A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10,900 (20.2)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7A6C" w14:textId="77777777" w:rsidR="00F26980" w:rsidRPr="00CF7F99" w:rsidRDefault="00B35469" w:rsidP="0022632E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t>&lt;0.001</w:t>
            </w:r>
          </w:p>
        </w:tc>
      </w:tr>
      <w:tr w:rsidR="004E7997" w:rsidRPr="00CF7F99" w14:paraId="766E5E9F" w14:textId="77777777" w:rsidTr="00FB16CA">
        <w:trPr>
          <w:trHeight w:val="2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14D1" w14:textId="6B07154E" w:rsidR="004E7997" w:rsidRPr="00CF7F99" w:rsidRDefault="004E7997" w:rsidP="00FB16CA">
            <w:pPr>
              <w:pStyle w:val="TableStyle2A"/>
              <w:jc w:val="center"/>
              <w:rPr>
                <w:sz w:val="22"/>
                <w:szCs w:val="22"/>
              </w:rPr>
            </w:pPr>
            <w:r w:rsidRPr="00CF7F99">
              <w:rPr>
                <w:rFonts w:eastAsia="Times New Roman"/>
                <w:sz w:val="22"/>
                <w:szCs w:val="22"/>
                <w:bdr w:val="none" w:sz="0" w:space="0" w:color="auto"/>
                <w:lang w:val="en-CA"/>
              </w:rPr>
              <w:t>Mortality Risk Score</w:t>
            </w:r>
            <w:r w:rsidR="005D53E4" w:rsidRPr="00CF7F99">
              <w:rPr>
                <w:sz w:val="24"/>
                <w:szCs w:val="24"/>
                <w:vertAlign w:val="superscript"/>
              </w:rPr>
              <w:t>c</w:t>
            </w:r>
            <w:r w:rsidRPr="00CF7F99">
              <w:rPr>
                <w:rFonts w:eastAsia="Times New Roman"/>
                <w:sz w:val="22"/>
                <w:szCs w:val="22"/>
                <w:bdr w:val="none" w:sz="0" w:space="0" w:color="auto"/>
                <w:lang w:val="en-CA"/>
              </w:rPr>
              <w:t xml:space="preserve">, </w:t>
            </w:r>
            <w:r w:rsidRPr="00CF7F99">
              <w:rPr>
                <w:rFonts w:eastAsia="Times New Roman"/>
                <w:i/>
                <w:iCs/>
                <w:sz w:val="22"/>
                <w:szCs w:val="22"/>
                <w:bdr w:val="none" w:sz="0" w:space="0" w:color="auto"/>
                <w:lang w:val="en-CA"/>
              </w:rPr>
              <w:t>mean ± 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6A1C" w14:textId="77777777" w:rsidR="004E7997" w:rsidRPr="00CF7F99" w:rsidRDefault="004E7997" w:rsidP="004E7997">
            <w:pPr>
              <w:rPr>
                <w:rFonts w:ascii="Helvetica" w:hAnsi="Helvetica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7DA3" w14:textId="77777777" w:rsidR="004E7997" w:rsidRPr="00CF7F99" w:rsidRDefault="004E7997" w:rsidP="004E7997">
            <w:pPr>
              <w:rPr>
                <w:rFonts w:ascii="Helvetica" w:hAnsi="Helveti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C705" w14:textId="77777777" w:rsidR="004E7997" w:rsidRPr="00CF7F99" w:rsidRDefault="004E7997" w:rsidP="004E7997">
            <w:pPr>
              <w:pStyle w:val="TableStyle2A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E316" w14:textId="77777777" w:rsidR="004E7997" w:rsidRPr="00CF7F99" w:rsidRDefault="004E7997" w:rsidP="004E7997">
            <w:pPr>
              <w:rPr>
                <w:rFonts w:ascii="Helvetica" w:hAnsi="Helvetica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756C" w14:textId="77777777" w:rsidR="004E7997" w:rsidRPr="00CF7F99" w:rsidRDefault="004E7997" w:rsidP="004E7997">
            <w:pPr>
              <w:rPr>
                <w:rFonts w:ascii="Helvetica" w:hAnsi="Helvetic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6D14" w14:textId="77777777" w:rsidR="004E7997" w:rsidRPr="00CF7F99" w:rsidRDefault="004E7997" w:rsidP="004E7997">
            <w:pPr>
              <w:pStyle w:val="TableStyle2A"/>
              <w:rPr>
                <w:sz w:val="22"/>
                <w:szCs w:val="22"/>
              </w:rPr>
            </w:pPr>
          </w:p>
        </w:tc>
      </w:tr>
      <w:tr w:rsidR="004E7997" w:rsidRPr="00CF7F99" w14:paraId="4AAB9CAA" w14:textId="77777777" w:rsidTr="0022632E">
        <w:trPr>
          <w:trHeight w:val="312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F18E" w14:textId="77777777" w:rsidR="004E7997" w:rsidRPr="00CF7F99" w:rsidRDefault="004E7997" w:rsidP="004E7997">
            <w:pPr>
              <w:pStyle w:val="TableStyle2A"/>
              <w:rPr>
                <w:i/>
                <w:iCs/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 xml:space="preserve">Year of admission, </w:t>
            </w:r>
            <w:r w:rsidRPr="00CF7F99">
              <w:rPr>
                <w:i/>
                <w:iCs/>
                <w:sz w:val="22"/>
                <w:szCs w:val="22"/>
              </w:rPr>
              <w:t>n(%)</w:t>
            </w:r>
          </w:p>
          <w:p w14:paraId="2448BB04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2005</w:t>
            </w:r>
          </w:p>
          <w:p w14:paraId="153B479F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2006</w:t>
            </w:r>
          </w:p>
          <w:p w14:paraId="1E3756F6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2007</w:t>
            </w:r>
          </w:p>
          <w:p w14:paraId="4C0FD7AF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2008</w:t>
            </w:r>
          </w:p>
          <w:p w14:paraId="16D236E2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2009</w:t>
            </w:r>
          </w:p>
          <w:p w14:paraId="19903B92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2010</w:t>
            </w:r>
          </w:p>
          <w:p w14:paraId="4D49FDBF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2011</w:t>
            </w:r>
          </w:p>
          <w:p w14:paraId="2A985A96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2012</w:t>
            </w:r>
          </w:p>
          <w:p w14:paraId="31D7E9EF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2013</w:t>
            </w:r>
          </w:p>
          <w:p w14:paraId="43364D91" w14:textId="77777777" w:rsidR="004E7997" w:rsidRPr="00CF7F99" w:rsidRDefault="004E7997" w:rsidP="004E7997">
            <w:pPr>
              <w:pStyle w:val="TableStyle2A"/>
              <w:ind w:firstLine="283"/>
              <w:rPr>
                <w:sz w:val="22"/>
                <w:szCs w:val="22"/>
              </w:rPr>
            </w:pPr>
            <w:r w:rsidRPr="00CF7F99">
              <w:rPr>
                <w:sz w:val="22"/>
                <w:szCs w:val="22"/>
              </w:rPr>
              <w:t>2014</w:t>
            </w:r>
          </w:p>
          <w:p w14:paraId="154A820E" w14:textId="77777777" w:rsidR="004E7997" w:rsidRPr="00CF7F99" w:rsidRDefault="004E7997" w:rsidP="004E7997">
            <w:pPr>
              <w:pStyle w:val="TableStyle2A"/>
              <w:ind w:firstLine="283"/>
            </w:pPr>
            <w:r w:rsidRPr="00CF7F99">
              <w:rPr>
                <w:sz w:val="22"/>
                <w:szCs w:val="22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0669" w14:textId="77777777" w:rsidR="004E7997" w:rsidRPr="00CF7F99" w:rsidRDefault="004E7997" w:rsidP="004E7997">
            <w:pPr>
              <w:rPr>
                <w:rFonts w:ascii="Helvetica" w:hAnsi="Helvetica"/>
              </w:rPr>
            </w:pPr>
          </w:p>
          <w:p w14:paraId="593ED43E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7,141 (9.0)</w:t>
            </w:r>
          </w:p>
          <w:p w14:paraId="5A613027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6,887 (8.7)</w:t>
            </w:r>
          </w:p>
          <w:p w14:paraId="5D813C01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6,983 (8.8)</w:t>
            </w:r>
          </w:p>
          <w:p w14:paraId="41E7EB86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7,036 (8.9)</w:t>
            </w:r>
          </w:p>
          <w:p w14:paraId="7943428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6,956 (8.8)</w:t>
            </w:r>
          </w:p>
          <w:p w14:paraId="245B2C0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7,072 (8.9)</w:t>
            </w:r>
          </w:p>
          <w:p w14:paraId="58B3CD72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7,239 (9.1)</w:t>
            </w:r>
          </w:p>
          <w:p w14:paraId="04DD7944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7,351 (9.3)</w:t>
            </w:r>
          </w:p>
          <w:p w14:paraId="3F81D9EE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7,561 (9.5)</w:t>
            </w:r>
          </w:p>
          <w:p w14:paraId="73924A16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7,611 (9.6)</w:t>
            </w:r>
          </w:p>
          <w:p w14:paraId="4E312AE6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7,502 (9.5)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8B9A" w14:textId="77777777" w:rsidR="004E7997" w:rsidRPr="00CF7F99" w:rsidRDefault="004E7997" w:rsidP="004E7997">
            <w:pPr>
              <w:rPr>
                <w:rFonts w:ascii="Helvetica" w:hAnsi="Helvetica"/>
              </w:rPr>
            </w:pPr>
          </w:p>
          <w:p w14:paraId="06C368D1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7,141 (9.0)</w:t>
            </w:r>
          </w:p>
          <w:p w14:paraId="1198D38C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6,887 (8.7)</w:t>
            </w:r>
          </w:p>
          <w:p w14:paraId="2EF86F7D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6,983 (8.8)</w:t>
            </w:r>
          </w:p>
          <w:p w14:paraId="0BD9C8C8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7,036 (8.9)</w:t>
            </w:r>
          </w:p>
          <w:p w14:paraId="3CF8673D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6,956 (8.8)</w:t>
            </w:r>
          </w:p>
          <w:p w14:paraId="209D6D0C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7,072 (8.9)</w:t>
            </w:r>
          </w:p>
          <w:p w14:paraId="526D2FB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7,239 (9.1)</w:t>
            </w:r>
          </w:p>
          <w:p w14:paraId="41CB53F8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7,351 (9.3)</w:t>
            </w:r>
          </w:p>
          <w:p w14:paraId="3061338D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7,561 (9.5)</w:t>
            </w:r>
          </w:p>
          <w:p w14:paraId="1C0375A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7,611 (9.6)</w:t>
            </w:r>
          </w:p>
          <w:p w14:paraId="4BC446F4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7,502 (9.5)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D196" w14:textId="64A22D8F" w:rsidR="004E7997" w:rsidRPr="00CF7F99" w:rsidRDefault="004E7997" w:rsidP="004E7997">
            <w:pPr>
              <w:pStyle w:val="TableStyle2A"/>
            </w:pPr>
            <w:r w:rsidRPr="00CF7F99">
              <w:rPr>
                <w:sz w:val="22"/>
                <w:szCs w:val="22"/>
              </w:rPr>
              <w:t>NA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4440" w14:textId="77777777" w:rsidR="004E7997" w:rsidRPr="00CF7F99" w:rsidRDefault="004E7997" w:rsidP="004E7997">
            <w:pPr>
              <w:rPr>
                <w:rFonts w:ascii="Helvetica" w:hAnsi="Helvetica"/>
              </w:rPr>
            </w:pPr>
          </w:p>
          <w:p w14:paraId="663A4681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4,403 (8.2)</w:t>
            </w:r>
          </w:p>
          <w:p w14:paraId="64AFBB6C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4,439 (8.2)</w:t>
            </w:r>
          </w:p>
          <w:p w14:paraId="44B6020A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4,566 (8.5)</w:t>
            </w:r>
          </w:p>
          <w:p w14:paraId="1579116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4,678 (8.7)</w:t>
            </w:r>
          </w:p>
          <w:p w14:paraId="609C5E4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4,822 (8.9)</w:t>
            </w:r>
          </w:p>
          <w:p w14:paraId="69D896F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4,675 (8.7)</w:t>
            </w:r>
          </w:p>
          <w:p w14:paraId="35235F49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4,971 (9.2)</w:t>
            </w:r>
          </w:p>
          <w:p w14:paraId="290B5527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5,137 (9.5)</w:t>
            </w:r>
          </w:p>
          <w:p w14:paraId="32CE86A5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5,255 (9.8)</w:t>
            </w:r>
          </w:p>
          <w:p w14:paraId="38103ABD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5,542 (10.3)</w:t>
            </w:r>
          </w:p>
          <w:p w14:paraId="61AA337C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5,402 (10.0)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F92E" w14:textId="77777777" w:rsidR="004E7997" w:rsidRPr="00CF7F99" w:rsidRDefault="004E7997" w:rsidP="004E7997">
            <w:pPr>
              <w:rPr>
                <w:rFonts w:ascii="Helvetica" w:hAnsi="Helvetica"/>
              </w:rPr>
            </w:pPr>
          </w:p>
          <w:p w14:paraId="03B55173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4,403 (8.2)</w:t>
            </w:r>
          </w:p>
          <w:p w14:paraId="5E02664B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4,439 (8.2)</w:t>
            </w:r>
          </w:p>
          <w:p w14:paraId="1D1B29F5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4,566 (8.5)</w:t>
            </w:r>
          </w:p>
          <w:p w14:paraId="36256642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4,678 (8.7)</w:t>
            </w:r>
          </w:p>
          <w:p w14:paraId="53D0CC0A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4,822 (8.9)</w:t>
            </w:r>
          </w:p>
          <w:p w14:paraId="0C308237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4,675 (8.7)</w:t>
            </w:r>
          </w:p>
          <w:p w14:paraId="3C001EA5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4,971 (9.2)</w:t>
            </w:r>
          </w:p>
          <w:p w14:paraId="6BA46F4A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5,137 (9.5)</w:t>
            </w:r>
          </w:p>
          <w:p w14:paraId="1E4E517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5,255 (9.8)</w:t>
            </w:r>
          </w:p>
          <w:p w14:paraId="3D96EA5D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5,542 (10.3)</w:t>
            </w:r>
          </w:p>
          <w:p w14:paraId="61A9BFDC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5,402 (10.0)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3F1A" w14:textId="3CBAA549" w:rsidR="004E7997" w:rsidRPr="00CF7F99" w:rsidRDefault="004E7997" w:rsidP="004E7997">
            <w:pPr>
              <w:pStyle w:val="TableStyle2A"/>
            </w:pPr>
            <w:r w:rsidRPr="00CF7F99">
              <w:rPr>
                <w:sz w:val="22"/>
                <w:szCs w:val="22"/>
              </w:rPr>
              <w:t>NA</w:t>
            </w:r>
          </w:p>
        </w:tc>
      </w:tr>
      <w:tr w:rsidR="004E7997" w:rsidRPr="00CF7F99" w14:paraId="42598363" w14:textId="77777777" w:rsidTr="0022632E">
        <w:trPr>
          <w:trHeight w:val="54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05E4" w14:textId="77777777" w:rsidR="004E7997" w:rsidRPr="00CF7F99" w:rsidRDefault="004E7997" w:rsidP="004E7997">
            <w:pPr>
              <w:pStyle w:val="TableStyle2A"/>
            </w:pPr>
            <w:r w:rsidRPr="00CF7F99">
              <w:rPr>
                <w:sz w:val="22"/>
                <w:szCs w:val="22"/>
              </w:rPr>
              <w:t xml:space="preserve">Admission to a teaching hospital, </w:t>
            </w:r>
            <w:r w:rsidRPr="00CF7F99">
              <w:rPr>
                <w:i/>
                <w:iCs/>
                <w:sz w:val="22"/>
                <w:szCs w:val="22"/>
              </w:rPr>
              <w:t>n(%)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D764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23,154 (29.2)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EFD2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24,280 (30.6)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129E" w14:textId="77777777" w:rsidR="004E7997" w:rsidRPr="00CF7F99" w:rsidRDefault="004E7997" w:rsidP="004E7997">
            <w:pPr>
              <w:pStyle w:val="BodyA"/>
            </w:pPr>
            <w:r w:rsidRPr="00CF7F99">
              <w:t>&lt;0.001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349B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20,272 (37.6)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E5DD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16,948 (31.4)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3B08" w14:textId="77777777" w:rsidR="004E7997" w:rsidRPr="00CF7F99" w:rsidRDefault="004E7997" w:rsidP="004E7997">
            <w:pPr>
              <w:pStyle w:val="BodyA"/>
            </w:pPr>
            <w:r w:rsidRPr="00CF7F99">
              <w:t>&lt;0.001</w:t>
            </w:r>
          </w:p>
        </w:tc>
      </w:tr>
      <w:tr w:rsidR="004E7997" w:rsidRPr="00CF7F99" w14:paraId="532C6933" w14:textId="77777777" w:rsidTr="0022632E">
        <w:trPr>
          <w:trHeight w:val="97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52DD" w14:textId="77777777" w:rsidR="004E7997" w:rsidRPr="00CF7F99" w:rsidRDefault="004E7997" w:rsidP="004E7997">
            <w:pPr>
              <w:pStyle w:val="TableStyle2A"/>
            </w:pPr>
            <w:r w:rsidRPr="00CF7F99">
              <w:rPr>
                <w:sz w:val="22"/>
                <w:szCs w:val="22"/>
              </w:rPr>
              <w:t xml:space="preserve">Surgical procedures with ≥8 OHIP anesthesia basic units, </w:t>
            </w:r>
            <w:r w:rsidRPr="00CF7F99">
              <w:rPr>
                <w:i/>
                <w:iCs/>
                <w:sz w:val="22"/>
                <w:szCs w:val="22"/>
              </w:rPr>
              <w:t>n(%)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E9AF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5,694 (7.2)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D316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5,694 (7.2)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DE37" w14:textId="5F63AF4B" w:rsidR="004E7997" w:rsidRPr="00CF7F99" w:rsidRDefault="004E7997" w:rsidP="004E7997">
            <w:pPr>
              <w:pStyle w:val="TableStyle2A"/>
            </w:pPr>
            <w:r w:rsidRPr="00CF7F99">
              <w:rPr>
                <w:sz w:val="22"/>
                <w:szCs w:val="22"/>
              </w:rPr>
              <w:t>NA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BB0C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5,639 (10.5)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97BF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5,639 (10.5)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52CD" w14:textId="0E48BEEB" w:rsidR="004E7997" w:rsidRPr="00CF7F99" w:rsidRDefault="004E7997" w:rsidP="004E7997">
            <w:pPr>
              <w:pStyle w:val="BodyA"/>
            </w:pPr>
            <w:r w:rsidRPr="00CF7F99">
              <w:t>NA</w:t>
            </w:r>
          </w:p>
        </w:tc>
      </w:tr>
      <w:tr w:rsidR="004E7997" w:rsidRPr="00CF7F99" w14:paraId="28806D3C" w14:textId="77777777" w:rsidTr="0022632E">
        <w:trPr>
          <w:trHeight w:val="97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BA61" w14:textId="0932896B" w:rsidR="004E7997" w:rsidRPr="00CF7F99" w:rsidRDefault="004E7997" w:rsidP="004E7997">
            <w:pPr>
              <w:pStyle w:val="TableStyle2A"/>
              <w:rPr>
                <w:sz w:val="22"/>
                <w:szCs w:val="22"/>
              </w:rPr>
            </w:pPr>
            <w:r w:rsidRPr="00CF7F99">
              <w:rPr>
                <w:rFonts w:eastAsia="Times New Roman"/>
                <w:bdr w:val="none" w:sz="0" w:space="0" w:color="auto"/>
                <w:lang w:val="en-CA"/>
              </w:rPr>
              <w:t xml:space="preserve">Admitted to a special care unit prior to surgery, </w:t>
            </w:r>
            <w:r w:rsidRPr="00CF7F99">
              <w:rPr>
                <w:rFonts w:eastAsia="Times New Roman"/>
                <w:i/>
                <w:iCs/>
                <w:bdr w:val="none" w:sz="0" w:space="0" w:color="auto"/>
                <w:lang w:val="en-CA"/>
              </w:rPr>
              <w:t>n(%)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F036" w14:textId="77777777" w:rsidR="004E7997" w:rsidRPr="00CF7F99" w:rsidRDefault="004E7997" w:rsidP="004E7997">
            <w:pPr>
              <w:rPr>
                <w:rFonts w:ascii="Helvetica" w:hAnsi="Helvetica" w:cs="Arial Unicode MS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FA58" w14:textId="77777777" w:rsidR="004E7997" w:rsidRPr="00CF7F99" w:rsidRDefault="004E7997" w:rsidP="004E7997">
            <w:pPr>
              <w:rPr>
                <w:rFonts w:ascii="Helvetica" w:hAnsi="Helvetica" w:cs="Arial Unicode MS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DAB0" w14:textId="77777777" w:rsidR="004E7997" w:rsidRPr="00CF7F99" w:rsidDel="00BF74AA" w:rsidRDefault="004E7997" w:rsidP="004E7997">
            <w:pPr>
              <w:pStyle w:val="TableStyle2A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47CF" w14:textId="77777777" w:rsidR="004E7997" w:rsidRPr="00CF7F99" w:rsidRDefault="004E7997" w:rsidP="004E7997">
            <w:pPr>
              <w:rPr>
                <w:rFonts w:ascii="Helvetica" w:hAnsi="Helvetica" w:cs="Arial Unicode MS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C10A" w14:textId="77777777" w:rsidR="004E7997" w:rsidRPr="00CF7F99" w:rsidRDefault="004E7997" w:rsidP="004E7997">
            <w:pPr>
              <w:rPr>
                <w:rFonts w:ascii="Helvetica" w:hAnsi="Helvetica" w:cs="Arial Unicode MS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8B9A" w14:textId="77777777" w:rsidR="004E7997" w:rsidRPr="00CF7F99" w:rsidRDefault="004E7997" w:rsidP="004E7997">
            <w:pPr>
              <w:pStyle w:val="BodyA"/>
            </w:pPr>
          </w:p>
        </w:tc>
      </w:tr>
      <w:tr w:rsidR="004E7997" w:rsidRPr="00CF7F99" w14:paraId="510EB7F6" w14:textId="77777777" w:rsidTr="0022632E">
        <w:trPr>
          <w:trHeight w:val="54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A47D" w14:textId="77777777" w:rsidR="004E7997" w:rsidRPr="00CF7F99" w:rsidRDefault="004E7997" w:rsidP="004E7997">
            <w:pPr>
              <w:pStyle w:val="Default"/>
            </w:pPr>
            <w:r w:rsidRPr="00CF7F99">
              <w:t xml:space="preserve">Days from admission to surgery, </w:t>
            </w:r>
            <w:r w:rsidRPr="00CF7F99">
              <w:rPr>
                <w:i/>
                <w:iCs/>
              </w:rPr>
              <w:t>mean ± SD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3CE1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0.3 ± 0.4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6C0A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0.4 ± 0.6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8F7B" w14:textId="77777777" w:rsidR="004E7997" w:rsidRPr="00CF7F99" w:rsidRDefault="004E7997" w:rsidP="004E7997">
            <w:pPr>
              <w:pStyle w:val="BodyA"/>
            </w:pPr>
            <w:r w:rsidRPr="00CF7F99">
              <w:t>&lt;0.001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1EFA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0.5 ± 0.6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26A0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2.2 ± 1.3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9EBE" w14:textId="77777777" w:rsidR="004E7997" w:rsidRPr="00CF7F99" w:rsidRDefault="004E7997" w:rsidP="004E7997">
            <w:pPr>
              <w:pStyle w:val="BodyA"/>
            </w:pPr>
            <w:r w:rsidRPr="00CF7F99">
              <w:t>&lt;0.001</w:t>
            </w:r>
          </w:p>
        </w:tc>
      </w:tr>
      <w:tr w:rsidR="004E7997" w:rsidRPr="00CF7F99" w14:paraId="3B0E0A1E" w14:textId="77777777" w:rsidTr="0022632E">
        <w:trPr>
          <w:trHeight w:val="600"/>
        </w:trPr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4982" w14:textId="77777777" w:rsidR="004E7997" w:rsidRPr="00CF7F99" w:rsidRDefault="004E7997" w:rsidP="004E7997">
            <w:pPr>
              <w:pStyle w:val="TableStyle2A"/>
            </w:pPr>
            <w:r w:rsidRPr="00CF7F99">
              <w:rPr>
                <w:sz w:val="22"/>
                <w:szCs w:val="22"/>
              </w:rPr>
              <w:t xml:space="preserve">Length of hospital stay, </w:t>
            </w:r>
            <w:r w:rsidRPr="00CF7F99">
              <w:rPr>
                <w:i/>
                <w:iCs/>
                <w:sz w:val="22"/>
                <w:szCs w:val="22"/>
              </w:rPr>
              <w:t>mean ± SD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E4B4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5.4 ± 10.3</w:t>
            </w:r>
          </w:p>
        </w:tc>
        <w:tc>
          <w:tcPr>
            <w:tcW w:w="1716" w:type="dxa"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BD7B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5.5 ± 11.6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0DB2" w14:textId="77777777" w:rsidR="004E7997" w:rsidRPr="00CF7F99" w:rsidRDefault="004E7997" w:rsidP="004E7997">
            <w:pPr>
              <w:pStyle w:val="BodyA"/>
            </w:pPr>
            <w:r w:rsidRPr="00CF7F99">
              <w:t>0.006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42CE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9.0 ± 12.8</w:t>
            </w:r>
          </w:p>
        </w:tc>
        <w:tc>
          <w:tcPr>
            <w:tcW w:w="1816" w:type="dxa"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83D8" w14:textId="77777777" w:rsidR="004E7997" w:rsidRPr="00CF7F99" w:rsidRDefault="004E7997" w:rsidP="004E7997">
            <w:pPr>
              <w:rPr>
                <w:rFonts w:ascii="Helvetica" w:hAnsi="Helvetica"/>
              </w:rPr>
            </w:pPr>
            <w:r w:rsidRPr="00CF7F99">
              <w:rPr>
                <w:rFonts w:ascii="Helvetica" w:hAnsi="Helvetica" w:cs="Arial Unicode MS"/>
                <w:color w:val="000000"/>
                <w:sz w:val="22"/>
                <w:szCs w:val="22"/>
              </w:rPr>
              <w:t>7.1 ± 13.8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D959" w14:textId="77777777" w:rsidR="004E7997" w:rsidRPr="00CF7F99" w:rsidRDefault="004E7997" w:rsidP="004E7997">
            <w:pPr>
              <w:pStyle w:val="BodyA"/>
            </w:pPr>
            <w:r w:rsidRPr="00CF7F99">
              <w:t>&lt;0.001</w:t>
            </w:r>
          </w:p>
        </w:tc>
      </w:tr>
    </w:tbl>
    <w:p w14:paraId="33A36535" w14:textId="012F0502" w:rsidR="00F26980" w:rsidRPr="00CF7F99" w:rsidRDefault="00B35469">
      <w:pPr>
        <w:pStyle w:val="Default"/>
        <w:widowControl w:val="0"/>
        <w:rPr>
          <w:sz w:val="24"/>
          <w:szCs w:val="24"/>
        </w:rPr>
      </w:pPr>
      <w:r w:rsidRPr="00CF7F99">
        <w:rPr>
          <w:sz w:val="24"/>
          <w:szCs w:val="24"/>
        </w:rPr>
        <w:t>SD, standard deviation; OHIP, Ontario Health Insurance Plan</w:t>
      </w:r>
      <w:r w:rsidR="005D53E4" w:rsidRPr="00CF7F99">
        <w:rPr>
          <w:sz w:val="24"/>
          <w:szCs w:val="24"/>
        </w:rPr>
        <w:t>; S, suppressed percentage (cell counts &lt;6 cannot be reported)</w:t>
      </w:r>
    </w:p>
    <w:p w14:paraId="1970DF52" w14:textId="383B50A4" w:rsidR="00BF74AA" w:rsidRPr="00CF7F99" w:rsidRDefault="00BF74AA" w:rsidP="00FB16CA">
      <w:pPr>
        <w:pStyle w:val="BodyA"/>
        <w:widowControl w:val="0"/>
        <w:outlineLvl w:val="0"/>
        <w:rPr>
          <w:sz w:val="24"/>
          <w:szCs w:val="24"/>
        </w:rPr>
      </w:pPr>
      <w:proofErr w:type="spellStart"/>
      <w:r w:rsidRPr="00CF7F99">
        <w:rPr>
          <w:sz w:val="24"/>
          <w:szCs w:val="24"/>
          <w:vertAlign w:val="superscript"/>
        </w:rPr>
        <w:lastRenderedPageBreak/>
        <w:t>a</w:t>
      </w:r>
      <w:r w:rsidRPr="00CF7F99">
        <w:rPr>
          <w:sz w:val="24"/>
          <w:szCs w:val="24"/>
        </w:rPr>
        <w:t>P</w:t>
      </w:r>
      <w:proofErr w:type="spellEnd"/>
      <w:r w:rsidRPr="00CF7F99">
        <w:rPr>
          <w:sz w:val="24"/>
          <w:szCs w:val="24"/>
        </w:rPr>
        <w:t xml:space="preserve"> values not reported for variables used in exacting matching of study groups</w:t>
      </w:r>
    </w:p>
    <w:p w14:paraId="0BD2C1FA" w14:textId="3CE24422" w:rsidR="00F26980" w:rsidRPr="00CF7F99" w:rsidRDefault="005D53E4">
      <w:pPr>
        <w:pStyle w:val="Default"/>
        <w:widowControl w:val="0"/>
        <w:ind w:left="108" w:hanging="108"/>
        <w:rPr>
          <w:sz w:val="24"/>
          <w:szCs w:val="24"/>
        </w:rPr>
      </w:pPr>
      <w:proofErr w:type="spellStart"/>
      <w:r w:rsidRPr="00CF7F99">
        <w:rPr>
          <w:sz w:val="24"/>
          <w:szCs w:val="24"/>
          <w:vertAlign w:val="superscript"/>
        </w:rPr>
        <w:t>b</w:t>
      </w:r>
      <w:r w:rsidR="001E5749" w:rsidRPr="00CF7F99">
        <w:rPr>
          <w:sz w:val="24"/>
          <w:szCs w:val="24"/>
        </w:rPr>
        <w:t>Resource</w:t>
      </w:r>
      <w:proofErr w:type="spellEnd"/>
      <w:r w:rsidR="001E5749" w:rsidRPr="00CF7F99">
        <w:rPr>
          <w:sz w:val="24"/>
          <w:szCs w:val="24"/>
        </w:rPr>
        <w:t xml:space="preserve"> </w:t>
      </w:r>
      <w:r w:rsidR="00B35469" w:rsidRPr="00CF7F99">
        <w:rPr>
          <w:sz w:val="24"/>
          <w:szCs w:val="24"/>
        </w:rPr>
        <w:t>utilization band is a ranking system of overall morbidity based on the Johns Hopkins Adjusted Clinical Group case-mix system</w:t>
      </w:r>
      <w:bookmarkEnd w:id="0"/>
    </w:p>
    <w:p w14:paraId="720A34D6" w14:textId="2F172850" w:rsidR="001E5749" w:rsidRPr="00CF7F99" w:rsidRDefault="005D53E4" w:rsidP="001E5749">
      <w:pPr>
        <w:pStyle w:val="BodyA"/>
        <w:widowControl w:val="0"/>
        <w:ind w:left="108" w:hanging="108"/>
        <w:rPr>
          <w:rFonts w:cstheme="minorHAnsi"/>
          <w:sz w:val="24"/>
          <w:szCs w:val="24"/>
        </w:rPr>
      </w:pPr>
      <w:proofErr w:type="spellStart"/>
      <w:r w:rsidRPr="00CF7F99">
        <w:rPr>
          <w:sz w:val="24"/>
          <w:szCs w:val="24"/>
          <w:vertAlign w:val="superscript"/>
        </w:rPr>
        <w:t>c</w:t>
      </w:r>
      <w:r w:rsidR="001E5749" w:rsidRPr="00CF7F99">
        <w:rPr>
          <w:sz w:val="24"/>
          <w:szCs w:val="24"/>
        </w:rPr>
        <w:t>Mortality</w:t>
      </w:r>
      <w:proofErr w:type="spellEnd"/>
      <w:r w:rsidR="001E5749" w:rsidRPr="00CF7F99">
        <w:rPr>
          <w:sz w:val="24"/>
          <w:szCs w:val="24"/>
        </w:rPr>
        <w:t xml:space="preserve"> Risk Score </w:t>
      </w:r>
      <w:r w:rsidR="001E5749" w:rsidRPr="00CF7F99">
        <w:rPr>
          <w:rFonts w:eastAsia="Times New Roman" w:cs="Arial"/>
          <w:color w:val="333333"/>
          <w:bdr w:val="none" w:sz="0" w:space="0" w:color="auto"/>
          <w:shd w:val="clear" w:color="auto" w:fill="FFFFFF"/>
          <w:lang w:val="en-CA"/>
        </w:rPr>
        <w:t xml:space="preserve">based on </w:t>
      </w:r>
      <w:r w:rsidR="001E5749" w:rsidRPr="00CF7F99">
        <w:rPr>
          <w:rFonts w:cstheme="minorHAnsi"/>
          <w:sz w:val="24"/>
          <w:szCs w:val="24"/>
        </w:rPr>
        <w:t>the Johns Hopkins Adjusted Clinical Group case-mix system</w:t>
      </w:r>
    </w:p>
    <w:bookmarkEnd w:id="1"/>
    <w:p w14:paraId="0F175D61" w14:textId="77777777" w:rsidR="001E5749" w:rsidRPr="00CF7F99" w:rsidRDefault="001E5749">
      <w:pPr>
        <w:pStyle w:val="Default"/>
        <w:widowControl w:val="0"/>
        <w:ind w:left="108" w:hanging="108"/>
      </w:pPr>
    </w:p>
    <w:sectPr w:rsidR="001E5749" w:rsidRPr="00CF7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FBEB" w14:textId="77777777" w:rsidR="00D91C81" w:rsidRDefault="00D91C81">
      <w:r>
        <w:separator/>
      </w:r>
    </w:p>
  </w:endnote>
  <w:endnote w:type="continuationSeparator" w:id="0">
    <w:p w14:paraId="619D4357" w14:textId="77777777" w:rsidR="00D91C81" w:rsidRDefault="00D9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6059" w14:textId="77777777" w:rsidR="001B7285" w:rsidRDefault="001B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5783" w14:textId="4E244AF3" w:rsidR="00F26980" w:rsidRDefault="00F26980">
    <w:pPr>
      <w:pStyle w:val="HeaderFooterA"/>
      <w:tabs>
        <w:tab w:val="clear" w:pos="9020"/>
        <w:tab w:val="center" w:pos="6480"/>
        <w:tab w:val="right" w:pos="129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6D64" w14:textId="77777777" w:rsidR="001B7285" w:rsidRDefault="001B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7A2E" w14:textId="77777777" w:rsidR="00D91C81" w:rsidRDefault="00D91C81">
      <w:r>
        <w:separator/>
      </w:r>
    </w:p>
  </w:footnote>
  <w:footnote w:type="continuationSeparator" w:id="0">
    <w:p w14:paraId="1452BC94" w14:textId="77777777" w:rsidR="00D91C81" w:rsidRDefault="00D9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CFA4" w14:textId="77777777" w:rsidR="00887A51" w:rsidRDefault="00887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317E" w14:textId="77777777" w:rsidR="00F26980" w:rsidRDefault="00F2698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A3CE" w14:textId="77777777" w:rsidR="00887A51" w:rsidRDefault="00887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80"/>
    <w:rsid w:val="001B7285"/>
    <w:rsid w:val="001E5749"/>
    <w:rsid w:val="0022632E"/>
    <w:rsid w:val="00241C2F"/>
    <w:rsid w:val="003732C2"/>
    <w:rsid w:val="00377BBA"/>
    <w:rsid w:val="00411B19"/>
    <w:rsid w:val="00415145"/>
    <w:rsid w:val="004A7775"/>
    <w:rsid w:val="004C473B"/>
    <w:rsid w:val="004E7997"/>
    <w:rsid w:val="005264B5"/>
    <w:rsid w:val="005D53E4"/>
    <w:rsid w:val="00695438"/>
    <w:rsid w:val="00706FE0"/>
    <w:rsid w:val="00807C24"/>
    <w:rsid w:val="00887A51"/>
    <w:rsid w:val="009164D7"/>
    <w:rsid w:val="009B2536"/>
    <w:rsid w:val="009F43E7"/>
    <w:rsid w:val="00B35469"/>
    <w:rsid w:val="00BD1CC9"/>
    <w:rsid w:val="00BF74AA"/>
    <w:rsid w:val="00CF7F99"/>
    <w:rsid w:val="00D91C81"/>
    <w:rsid w:val="00DC2874"/>
    <w:rsid w:val="00F22A72"/>
    <w:rsid w:val="00F26980"/>
    <w:rsid w:val="00F5682E"/>
    <w:rsid w:val="00FA17D1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640D8"/>
  <w15:docId w15:val="{E2D6EF94-81D8-9B43-AFFB-545E2849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styleId="ListBullet3">
    <w:name w:val="List Bullet 3"/>
    <w:pPr>
      <w:ind w:left="1080" w:hanging="360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5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5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AA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O'Leary</cp:lastModifiedBy>
  <cp:revision>9</cp:revision>
  <dcterms:created xsi:type="dcterms:W3CDTF">2018-11-30T13:23:00Z</dcterms:created>
  <dcterms:modified xsi:type="dcterms:W3CDTF">2018-12-27T21:10:00Z</dcterms:modified>
</cp:coreProperties>
</file>