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C9" w:rsidRPr="00A93C3B" w:rsidRDefault="008F1DC9" w:rsidP="008F1DC9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C3B">
        <w:rPr>
          <w:rFonts w:ascii="Times New Roman" w:hAnsi="Times New Roman"/>
          <w:b/>
          <w:sz w:val="20"/>
          <w:szCs w:val="20"/>
          <w:lang w:val="en-US"/>
        </w:rPr>
        <w:t xml:space="preserve">S4 Table. Association of small for gestational age (SGA) with the risk of childhood mortality (age from 28 days to &lt;18 years) by underlying cause of death, a cohort study of all live births without major malformations during 1973-2012 in Sweden. Analysis restricted to term births </w:t>
      </w:r>
      <w:r w:rsidRPr="00A93C3B">
        <w:rPr>
          <w:rFonts w:ascii="Times New Roman" w:hAnsi="Times New Roman"/>
          <w:b/>
          <w:bCs/>
          <w:sz w:val="20"/>
          <w:szCs w:val="20"/>
          <w:lang w:val="en-US"/>
        </w:rPr>
        <w:t>(</w:t>
      </w:r>
      <w:r w:rsidRPr="00A93C3B">
        <w:rPr>
          <w:rFonts w:ascii="Times New Roman" w:hAnsi="Times New Roman"/>
          <w:b/>
          <w:bCs/>
          <w:sz w:val="20"/>
          <w:szCs w:val="20"/>
          <w:lang w:val="en-US"/>
        </w:rPr>
        <w:sym w:font="Symbol" w:char="F0B3"/>
      </w:r>
      <w:r w:rsidRPr="00A93C3B">
        <w:rPr>
          <w:rFonts w:ascii="Times New Roman" w:hAnsi="Times New Roman"/>
          <w:b/>
          <w:bCs/>
          <w:sz w:val="20"/>
          <w:szCs w:val="20"/>
          <w:lang w:val="en-US"/>
        </w:rPr>
        <w:t>37 gestational weeks).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891"/>
        <w:gridCol w:w="1891"/>
        <w:gridCol w:w="1893"/>
        <w:gridCol w:w="1884"/>
        <w:gridCol w:w="1884"/>
        <w:gridCol w:w="1884"/>
      </w:tblGrid>
      <w:tr w:rsidR="008F1DC9" w:rsidRPr="00A93C3B" w:rsidTr="009C5AB0">
        <w:trPr>
          <w:tblHeader/>
        </w:trPr>
        <w:tc>
          <w:tcPr>
            <w:tcW w:w="94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Cause of death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Population analysis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Sibling analysis</w:t>
            </w:r>
          </w:p>
        </w:tc>
      </w:tr>
      <w:tr w:rsidR="008F1DC9" w:rsidRPr="00A93C3B" w:rsidTr="009C5AB0">
        <w:trPr>
          <w:tblHeader/>
        </w:trPr>
        <w:tc>
          <w:tcPr>
            <w:tcW w:w="9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of children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of events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HR (95% </w:t>
            </w:r>
            <w:proofErr w:type="gramStart"/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CI)</w:t>
            </w:r>
            <w:r w:rsidRPr="00A93C3B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of children</w:t>
            </w:r>
            <w:r w:rsidRPr="00A93C3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of events</w:t>
            </w:r>
            <w:r w:rsidRPr="00A93C3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</w:rPr>
              <w:t>HR (95% CI)</w:t>
            </w:r>
            <w:r w:rsidRPr="00A93C3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</w:tr>
      <w:tr w:rsidR="008F1DC9" w:rsidRPr="00A93C3B" w:rsidTr="009C5AB0">
        <w:trPr>
          <w:trHeight w:val="83"/>
        </w:trPr>
        <w:tc>
          <w:tcPr>
            <w:tcW w:w="942" w:type="pct"/>
            <w:shd w:val="clear" w:color="auto" w:fill="auto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Infection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C9" w:rsidRPr="00A93C3B" w:rsidTr="009C5AB0">
        <w:trPr>
          <w:trHeight w:val="93"/>
        </w:trPr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67 715</w:t>
            </w:r>
          </w:p>
        </w:tc>
        <w:tc>
          <w:tcPr>
            <w:tcW w:w="677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2.20 (1.60-3.03)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3.96 (1.78-8.82)</w:t>
            </w: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203 076</w:t>
            </w:r>
          </w:p>
        </w:tc>
        <w:tc>
          <w:tcPr>
            <w:tcW w:w="677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1.45 (1.14-1.85)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1.19 (0.77-1.83)</w:t>
            </w: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3 348 723</w:t>
            </w:r>
          </w:p>
        </w:tc>
        <w:tc>
          <w:tcPr>
            <w:tcW w:w="677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728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8F1DC9" w:rsidRPr="00A93C3B" w:rsidTr="009C5AB0">
        <w:tc>
          <w:tcPr>
            <w:tcW w:w="942" w:type="pct"/>
            <w:shd w:val="clear" w:color="auto" w:fill="auto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Injury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67 715</w:t>
            </w:r>
          </w:p>
        </w:tc>
        <w:tc>
          <w:tcPr>
            <w:tcW w:w="677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1.32 (1.08-1.62)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1.21 (0.78-1.86)</w:t>
            </w: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203 076</w:t>
            </w:r>
          </w:p>
        </w:tc>
        <w:tc>
          <w:tcPr>
            <w:tcW w:w="677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211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1.08 (0.94-1.25)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288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1.01 (0.78-1.32)</w:t>
            </w: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3 348 723</w:t>
            </w:r>
          </w:p>
        </w:tc>
        <w:tc>
          <w:tcPr>
            <w:tcW w:w="677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2 720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545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8F1DC9" w:rsidRPr="00A93C3B" w:rsidTr="009C5AB0">
        <w:tc>
          <w:tcPr>
            <w:tcW w:w="942" w:type="pct"/>
            <w:shd w:val="clear" w:color="auto" w:fill="auto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Cancer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67 715</w:t>
            </w:r>
          </w:p>
        </w:tc>
        <w:tc>
          <w:tcPr>
            <w:tcW w:w="677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1.23 (0.90-1.66)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1.52 (0.81-2.85)</w:t>
            </w: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203 076</w:t>
            </w:r>
          </w:p>
        </w:tc>
        <w:tc>
          <w:tcPr>
            <w:tcW w:w="677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0.87 (0.70-1.08)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0.98 (0.65-1.46)</w:t>
            </w: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3 348 723</w:t>
            </w:r>
          </w:p>
        </w:tc>
        <w:tc>
          <w:tcPr>
            <w:tcW w:w="677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1 407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245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8F1DC9" w:rsidRPr="00A93C3B" w:rsidTr="009C5AB0">
        <w:tc>
          <w:tcPr>
            <w:tcW w:w="942" w:type="pct"/>
            <w:shd w:val="clear" w:color="auto" w:fill="auto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Neurologic disease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1DC9" w:rsidRPr="00A93C3B" w:rsidTr="009C5AB0">
        <w:trPr>
          <w:trHeight w:val="496"/>
        </w:trPr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8F1DC9" w:rsidRPr="00A93C3B" w:rsidTr="009C5AB0">
        <w:tc>
          <w:tcPr>
            <w:tcW w:w="942" w:type="pct"/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67 715</w:t>
            </w:r>
          </w:p>
        </w:tc>
        <w:tc>
          <w:tcPr>
            <w:tcW w:w="677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2.06 (1.41-3.02)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675" w:type="pct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2.32 (0.92-5.85)</w:t>
            </w:r>
          </w:p>
        </w:tc>
      </w:tr>
      <w:tr w:rsidR="008F1DC9" w:rsidRPr="00A93C3B" w:rsidTr="009C5AB0">
        <w:tc>
          <w:tcPr>
            <w:tcW w:w="942" w:type="pct"/>
            <w:tcBorders>
              <w:bottom w:val="nil"/>
            </w:tcBorders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tcBorders>
              <w:bottom w:val="nil"/>
            </w:tcBorders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203 076</w:t>
            </w:r>
          </w:p>
        </w:tc>
        <w:tc>
          <w:tcPr>
            <w:tcW w:w="677" w:type="pct"/>
            <w:tcBorders>
              <w:bottom w:val="nil"/>
            </w:tcBorders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1.34 (1.01-1.79)</w:t>
            </w:r>
          </w:p>
        </w:tc>
        <w:tc>
          <w:tcPr>
            <w:tcW w:w="675" w:type="pct"/>
            <w:tcBorders>
              <w:bottom w:val="nil"/>
            </w:tcBorders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675" w:type="pct"/>
            <w:tcBorders>
              <w:bottom w:val="nil"/>
            </w:tcBorders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1.41 (0.82-2.42)</w:t>
            </w:r>
          </w:p>
        </w:tc>
      </w:tr>
      <w:tr w:rsidR="008F1DC9" w:rsidRPr="00A93C3B" w:rsidTr="009C5AB0">
        <w:tc>
          <w:tcPr>
            <w:tcW w:w="942" w:type="pct"/>
            <w:tcBorders>
              <w:bottom w:val="nil"/>
            </w:tcBorders>
            <w:shd w:val="clear" w:color="auto" w:fill="auto"/>
            <w:vAlign w:val="center"/>
          </w:tcPr>
          <w:p w:rsidR="008F1DC9" w:rsidRPr="00A93C3B" w:rsidRDefault="008F1DC9" w:rsidP="009C5A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77" w:type="pct"/>
            <w:tcBorders>
              <w:bottom w:val="nil"/>
            </w:tcBorders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3 348 723</w:t>
            </w:r>
          </w:p>
        </w:tc>
        <w:tc>
          <w:tcPr>
            <w:tcW w:w="677" w:type="pct"/>
            <w:tcBorders>
              <w:bottom w:val="nil"/>
            </w:tcBorders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567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675" w:type="pct"/>
            <w:tcBorders>
              <w:bottom w:val="nil"/>
            </w:tcBorders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675" w:type="pct"/>
            <w:tcBorders>
              <w:bottom w:val="nil"/>
            </w:tcBorders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  <w:vAlign w:val="bottom"/>
          </w:tcPr>
          <w:p w:rsidR="008F1DC9" w:rsidRPr="00A93C3B" w:rsidRDefault="008F1DC9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</w:tbl>
    <w:p w:rsidR="008F1DC9" w:rsidRPr="00A93C3B" w:rsidRDefault="008F1DC9" w:rsidP="008F1DC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93C3B">
        <w:rPr>
          <w:rFonts w:ascii="Times New Roman" w:hAnsi="Times New Roman"/>
          <w:sz w:val="20"/>
          <w:szCs w:val="20"/>
          <w:lang w:val="en-US"/>
        </w:rPr>
        <w:t>HR, hazard ratio; CI, confidence interval.</w:t>
      </w:r>
    </w:p>
    <w:p w:rsidR="008F1DC9" w:rsidRPr="00A93C3B" w:rsidRDefault="008F1DC9" w:rsidP="008F1DC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93C3B">
        <w:rPr>
          <w:rFonts w:ascii="Times New Roman" w:hAnsi="Times New Roman"/>
          <w:i/>
          <w:sz w:val="20"/>
          <w:szCs w:val="20"/>
          <w:vertAlign w:val="superscript"/>
          <w:lang w:val="en-US"/>
        </w:rPr>
        <w:t xml:space="preserve">* </w:t>
      </w:r>
      <w:r w:rsidRPr="00A93C3B">
        <w:rPr>
          <w:rFonts w:ascii="Times New Roman" w:hAnsi="Times New Roman"/>
          <w:sz w:val="20"/>
          <w:szCs w:val="20"/>
          <w:lang w:val="en-US"/>
        </w:rPr>
        <w:t>HRs in the population analysis were adjusted for maternal age, maternal education level (&lt;10 years, 10-11 years, 12 years, 13-14 years, ≥15 years, or unknown), maternal country of birth (Nordic or non-Nordic country), maternal parity (1, 2-3, or ≥4), child’s sex, and calendar period of birth (1973-1976, every 5 years thereafter, or 2007-2012).</w:t>
      </w:r>
    </w:p>
    <w:p w:rsidR="008F1DC9" w:rsidRPr="00A93C3B" w:rsidRDefault="008F1DC9" w:rsidP="008F1DC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93C3B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†</w:t>
      </w:r>
      <w:r w:rsidRPr="00A93C3B">
        <w:rPr>
          <w:rFonts w:ascii="Times New Roman" w:hAnsi="Times New Roman"/>
          <w:sz w:val="20"/>
          <w:szCs w:val="20"/>
          <w:lang w:val="en-US"/>
        </w:rPr>
        <w:t xml:space="preserve"> In the within-sibling analysis, number of births represents the informative siblings, namely siblings who were discordant for both exposure (SGA vs. non-SGA) and outcome (death or alive) </w:t>
      </w:r>
      <w:proofErr w:type="gramStart"/>
      <w:r w:rsidRPr="00A93C3B">
        <w:rPr>
          <w:rFonts w:ascii="Times New Roman" w:hAnsi="Times New Roman"/>
          <w:sz w:val="20"/>
          <w:szCs w:val="20"/>
          <w:lang w:val="en-US"/>
        </w:rPr>
        <w:t>in order to</w:t>
      </w:r>
      <w:proofErr w:type="gramEnd"/>
      <w:r w:rsidRPr="00A93C3B">
        <w:rPr>
          <w:rFonts w:ascii="Times New Roman" w:hAnsi="Times New Roman"/>
          <w:sz w:val="20"/>
          <w:szCs w:val="20"/>
          <w:lang w:val="en-US"/>
        </w:rPr>
        <w:t xml:space="preserve"> contribute to the risk estimates, although all children with siblings were included for analysis.</w:t>
      </w:r>
    </w:p>
    <w:p w:rsidR="002B74EE" w:rsidRPr="008F1DC9" w:rsidRDefault="008F1DC9" w:rsidP="008F1DC9">
      <w:pPr>
        <w:spacing w:after="0" w:line="240" w:lineRule="auto"/>
        <w:rPr>
          <w:lang w:val="en-US"/>
        </w:rPr>
      </w:pPr>
      <w:r w:rsidRPr="00A93C3B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 xml:space="preserve">‡ </w:t>
      </w:r>
      <w:r w:rsidRPr="00A93C3B">
        <w:rPr>
          <w:rFonts w:ascii="Times New Roman" w:hAnsi="Times New Roman"/>
          <w:sz w:val="20"/>
          <w:szCs w:val="20"/>
          <w:lang w:val="en-US"/>
        </w:rPr>
        <w:t>HRs in the sibling analyses were adjusted for maternal age and child’s sex.</w:t>
      </w:r>
      <w:bookmarkStart w:id="0" w:name="_GoBack"/>
      <w:bookmarkEnd w:id="0"/>
    </w:p>
    <w:sectPr w:rsidR="002B74EE" w:rsidRPr="008F1DC9" w:rsidSect="008F1DC9">
      <w:footerReference w:type="even" r:id="rId4"/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FB" w:rsidRDefault="008F1DC9" w:rsidP="003C07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5FB" w:rsidRDefault="008F1DC9" w:rsidP="00945E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FB" w:rsidRDefault="008F1DC9" w:rsidP="003C07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205FB" w:rsidRDefault="008F1DC9" w:rsidP="00945EC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C9"/>
    <w:rsid w:val="002B74EE"/>
    <w:rsid w:val="008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F9B5"/>
  <w15:chartTrackingRefBased/>
  <w15:docId w15:val="{A7BCAFDA-68F5-43FC-BD65-CD1BA94D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DC9"/>
    <w:pPr>
      <w:spacing w:after="200" w:line="276" w:lineRule="auto"/>
    </w:pPr>
    <w:rPr>
      <w:rFonts w:ascii="Calibri" w:eastAsia="Calibri" w:hAnsi="Calibri" w:cs="Times New Roman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C9"/>
    <w:rPr>
      <w:rFonts w:ascii="Calibri" w:eastAsia="Calibri" w:hAnsi="Calibri" w:cs="Times New Roman"/>
      <w:lang w:val="sv-S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Saveall-Green</dc:creator>
  <cp:keywords/>
  <dc:description/>
  <cp:lastModifiedBy>Rebecca Saveall-Green</cp:lastModifiedBy>
  <cp:revision>1</cp:revision>
  <dcterms:created xsi:type="dcterms:W3CDTF">2018-11-05T16:14:00Z</dcterms:created>
  <dcterms:modified xsi:type="dcterms:W3CDTF">2018-11-05T16:15:00Z</dcterms:modified>
</cp:coreProperties>
</file>