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4410"/>
        <w:gridCol w:w="2250"/>
        <w:gridCol w:w="2160"/>
        <w:gridCol w:w="1890"/>
      </w:tblGrid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300" w:type="dxa"/>
            <w:gridSpan w:val="3"/>
            <w:vAlign w:val="center"/>
          </w:tcPr>
          <w:p w:rsidR="00512356" w:rsidRPr="00580F8C" w:rsidRDefault="00512356" w:rsidP="00BE0609">
            <w:pPr>
              <w:jc w:val="center"/>
              <w:rPr>
                <w:rFonts w:ascii="Arial" w:hAnsi="Arial" w:cs="Arial"/>
                <w:b/>
              </w:rPr>
            </w:pPr>
            <w:r w:rsidRPr="00580F8C">
              <w:rPr>
                <w:rFonts w:ascii="Arial" w:hAnsi="Arial" w:cs="Arial"/>
                <w:b/>
              </w:rPr>
              <w:t>Variable selection method</w:t>
            </w:r>
          </w:p>
        </w:tc>
      </w:tr>
      <w:tr w:rsidR="00512356" w:rsidRPr="004A3A51" w:rsidTr="00BE0609">
        <w:tc>
          <w:tcPr>
            <w:tcW w:w="4410" w:type="dxa"/>
            <w:vAlign w:val="bottom"/>
          </w:tcPr>
          <w:p w:rsidR="00512356" w:rsidRPr="00675883" w:rsidRDefault="00512356" w:rsidP="00BE0609">
            <w:pPr>
              <w:rPr>
                <w:rFonts w:ascii="Arial" w:hAnsi="Arial" w:cs="Arial"/>
                <w:b/>
              </w:rPr>
            </w:pPr>
            <w:r w:rsidRPr="00675883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2250" w:type="dxa"/>
          </w:tcPr>
          <w:p w:rsidR="00512356" w:rsidRPr="00675883" w:rsidRDefault="00512356" w:rsidP="00BE0609">
            <w:pPr>
              <w:rPr>
                <w:rFonts w:ascii="Arial" w:hAnsi="Arial" w:cs="Arial"/>
                <w:b/>
              </w:rPr>
            </w:pPr>
            <w:r w:rsidRPr="00675883">
              <w:rPr>
                <w:rFonts w:ascii="Arial" w:hAnsi="Arial" w:cs="Arial"/>
                <w:b/>
              </w:rPr>
              <w:t>Backward selection with logistic regression (No. times selected in top 11)</w:t>
            </w:r>
          </w:p>
        </w:tc>
        <w:tc>
          <w:tcPr>
            <w:tcW w:w="2160" w:type="dxa"/>
          </w:tcPr>
          <w:p w:rsidR="00512356" w:rsidRPr="00675883" w:rsidRDefault="00512356" w:rsidP="00BE0609">
            <w:pPr>
              <w:rPr>
                <w:rFonts w:ascii="Arial" w:hAnsi="Arial" w:cs="Arial"/>
                <w:b/>
              </w:rPr>
            </w:pPr>
            <w:r w:rsidRPr="00675883">
              <w:rPr>
                <w:rFonts w:ascii="Arial" w:hAnsi="Arial" w:cs="Arial"/>
                <w:b/>
              </w:rPr>
              <w:t>Lasso regularization with logistic regression (No. times selected)</w:t>
            </w:r>
          </w:p>
        </w:tc>
        <w:tc>
          <w:tcPr>
            <w:tcW w:w="1890" w:type="dxa"/>
            <w:vAlign w:val="bottom"/>
          </w:tcPr>
          <w:p w:rsidR="00512356" w:rsidRPr="00675883" w:rsidRDefault="00512356" w:rsidP="00BE0609">
            <w:pPr>
              <w:rPr>
                <w:rFonts w:ascii="Arial" w:hAnsi="Arial" w:cs="Arial"/>
                <w:b/>
              </w:rPr>
            </w:pPr>
            <w:r w:rsidRPr="00675883">
              <w:rPr>
                <w:rFonts w:ascii="Arial" w:hAnsi="Arial" w:cs="Arial"/>
                <w:b/>
              </w:rPr>
              <w:t xml:space="preserve">Permutation selection with </w:t>
            </w:r>
            <w:proofErr w:type="spellStart"/>
            <w:r w:rsidRPr="00675883">
              <w:rPr>
                <w:rFonts w:ascii="Arial" w:hAnsi="Arial" w:cs="Arial"/>
                <w:b/>
              </w:rPr>
              <w:t>XGBoost</w:t>
            </w:r>
            <w:proofErr w:type="spellEnd"/>
            <w:r w:rsidRPr="00675883">
              <w:rPr>
                <w:rFonts w:ascii="Arial" w:hAnsi="Arial" w:cs="Arial"/>
                <w:b/>
              </w:rPr>
              <w:t xml:space="preserve"> (No. times selected)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Age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Sex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Transfer-in status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Hypertension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Prior PCI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Prior MI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Prior heart failure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Prior CABG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Body mass index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 xml:space="preserve">Cerebrovascular </w:t>
            </w:r>
            <w:r>
              <w:rPr>
                <w:rFonts w:ascii="Arial" w:hAnsi="Arial" w:cs="Arial"/>
              </w:rPr>
              <w:t>d</w:t>
            </w:r>
            <w:r w:rsidRPr="004A3A51">
              <w:rPr>
                <w:rFonts w:ascii="Arial" w:hAnsi="Arial" w:cs="Arial"/>
              </w:rPr>
              <w:t>isease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Peripheral arterial disease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A3A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Chronic lung disease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 xml:space="preserve">Diabetes </w:t>
            </w:r>
            <w:r>
              <w:rPr>
                <w:rFonts w:ascii="Arial" w:hAnsi="Arial" w:cs="Arial"/>
              </w:rPr>
              <w:t>m</w:t>
            </w:r>
            <w:r w:rsidRPr="004A3A51">
              <w:rPr>
                <w:rFonts w:ascii="Arial" w:hAnsi="Arial" w:cs="Arial"/>
              </w:rPr>
              <w:t>ellitus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CAD presentation (non-ACS/non-STEMI or unstable angina/STEMI)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Heart failure w/in 2 weeks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Cardiogenic shock w/in 24 hours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Cardiac arrest w/in 24 hours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IABP at the start of procedure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A3A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Pre-procedure GFR (normal/mild/moderate/severe)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12356" w:rsidRPr="004A3A51" w:rsidTr="00BE0609">
        <w:tc>
          <w:tcPr>
            <w:tcW w:w="4410" w:type="dxa"/>
          </w:tcPr>
          <w:p w:rsidR="00512356" w:rsidRPr="004A3A51" w:rsidRDefault="00512356" w:rsidP="00BE0609">
            <w:pPr>
              <w:rPr>
                <w:rFonts w:ascii="Arial" w:hAnsi="Arial" w:cs="Arial"/>
              </w:rPr>
            </w:pPr>
            <w:r w:rsidRPr="004A3A51">
              <w:rPr>
                <w:rFonts w:ascii="Arial" w:hAnsi="Arial" w:cs="Arial"/>
              </w:rPr>
              <w:t>Anemia (pre-procedure hemoglobin &lt;10)</w:t>
            </w:r>
          </w:p>
        </w:tc>
        <w:tc>
          <w:tcPr>
            <w:tcW w:w="225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512356" w:rsidRPr="004A3A51" w:rsidRDefault="00512356" w:rsidP="00BE0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3A5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512356" w:rsidRPr="00567784" w:rsidRDefault="00512356" w:rsidP="00512356">
      <w:pPr>
        <w:rPr>
          <w:rFonts w:ascii="Arial" w:hAnsi="Arial" w:cs="Arial"/>
          <w:sz w:val="20"/>
        </w:rPr>
      </w:pPr>
      <w:r w:rsidRPr="00567784">
        <w:rPr>
          <w:rFonts w:ascii="Arial" w:hAnsi="Arial" w:cs="Arial"/>
          <w:sz w:val="20"/>
        </w:rPr>
        <w:t>CAD indicates coronary artery disease; CABG, coronary artery bypass grafting; MI, myocardial infarction; STEMI, ST-elevation myocardial infarction; IABP, intra-aortic balloon pump; ACS, acute coronary syndrome; GFR, glomerular filtration rate.</w:t>
      </w:r>
    </w:p>
    <w:p w:rsidR="00650591" w:rsidRDefault="00650591"/>
    <w:sectPr w:rsidR="0065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56"/>
    <w:rsid w:val="00512356"/>
    <w:rsid w:val="00567784"/>
    <w:rsid w:val="00650591"/>
    <w:rsid w:val="008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51439-4EBE-4143-88D1-882C2265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Chenxi</dc:creator>
  <cp:keywords/>
  <dc:description/>
  <cp:lastModifiedBy>Huang, Chenxi</cp:lastModifiedBy>
  <cp:revision>3</cp:revision>
  <dcterms:created xsi:type="dcterms:W3CDTF">2018-09-14T21:11:00Z</dcterms:created>
  <dcterms:modified xsi:type="dcterms:W3CDTF">2018-09-26T18:15:00Z</dcterms:modified>
</cp:coreProperties>
</file>