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C0C" w:rsidRDefault="000B4666" w:rsidP="002B1C0C">
      <w:pPr>
        <w:pStyle w:val="Heading4"/>
      </w:pPr>
      <w:r>
        <w:t>2</w:t>
      </w:r>
      <w:r w:rsidR="002B1C0C">
        <w:t>S2: Probability of cycling a trip</w:t>
      </w:r>
    </w:p>
    <w:p w:rsidR="002B1C0C" w:rsidRDefault="002B1C0C" w:rsidP="002B1C0C">
      <w:pPr>
        <w:jc w:val="both"/>
      </w:pPr>
      <w:r>
        <w:fldChar w:fldCharType="begin"/>
      </w:r>
      <w:r>
        <w:instrText xml:space="preserve"> REF _Ref505512459 \h </w:instrText>
      </w:r>
      <w:r>
        <w:fldChar w:fldCharType="separate"/>
      </w:r>
      <w:r>
        <w:t xml:space="preserve">S Fig </w:t>
      </w:r>
      <w:r>
        <w:rPr>
          <w:noProof/>
        </w:rPr>
        <w:t>1</w:t>
      </w:r>
      <w:r>
        <w:fldChar w:fldCharType="end"/>
      </w:r>
      <w:r>
        <w:t xml:space="preserve"> shows that, among cyclists, the proportion of trips of 1.5 to 2.5 miles that are cycled is around 34% in young females and 42% in young males. </w:t>
      </w:r>
      <w:r>
        <w:fldChar w:fldCharType="begin"/>
      </w:r>
      <w:r>
        <w:instrText xml:space="preserve"> REF _Ref505512459 \h </w:instrText>
      </w:r>
      <w:r>
        <w:fldChar w:fldCharType="separate"/>
      </w:r>
      <w:r>
        <w:t xml:space="preserve">S Fig </w:t>
      </w:r>
      <w:r>
        <w:rPr>
          <w:noProof/>
        </w:rPr>
        <w:t>1</w:t>
      </w:r>
      <w:r>
        <w:fldChar w:fldCharType="end"/>
      </w:r>
      <w:r>
        <w:t xml:space="preserve"> also shows that for both males and females the probability of cycling a trip decreases with greater trip distance, but this decrease happens somewhat faster for females and for older people.  In applying these distance-based probabilities, we assumed that these differences by age and gender reflect physical abilities, and we therefore retained these differences under the equity scenarios. In other words, equity scenarios equalise the probability that males and females become cyclists, but do not equalise the probability that a male versus a female cyclist cycles a particular trip of a certain distance.</w:t>
      </w:r>
    </w:p>
    <w:p w:rsidR="002B1C0C" w:rsidRDefault="002B1C0C" w:rsidP="002B1C0C">
      <w:pPr>
        <w:keepNext/>
      </w:pPr>
      <w:r>
        <w:rPr>
          <w:noProof/>
          <w:lang w:eastAsia="en-GB"/>
        </w:rPr>
        <w:drawing>
          <wp:inline distT="0" distB="0" distL="0" distR="0" wp14:anchorId="55C1EAB5" wp14:editId="0B55F501">
            <wp:extent cx="5520906" cy="3345425"/>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160" cy="3346791"/>
                    </a:xfrm>
                    <a:prstGeom prst="rect">
                      <a:avLst/>
                    </a:prstGeom>
                    <a:noFill/>
                  </pic:spPr>
                </pic:pic>
              </a:graphicData>
            </a:graphic>
          </wp:inline>
        </w:drawing>
      </w:r>
    </w:p>
    <w:p w:rsidR="002B1C0C" w:rsidRDefault="002B1C0C" w:rsidP="002B1C0C">
      <w:pPr>
        <w:pStyle w:val="Caption"/>
        <w:jc w:val="center"/>
      </w:pPr>
      <w:bookmarkStart w:id="0" w:name="_Ref505512459"/>
      <w:r>
        <w:t xml:space="preserve">S Fig </w:t>
      </w:r>
      <w:r>
        <w:fldChar w:fldCharType="begin"/>
      </w:r>
      <w:r>
        <w:instrText xml:space="preserve"> SEQ Appendix_Fig \* ARABIC </w:instrText>
      </w:r>
      <w:r>
        <w:fldChar w:fldCharType="separate"/>
      </w:r>
      <w:r>
        <w:rPr>
          <w:noProof/>
        </w:rPr>
        <w:t>1</w:t>
      </w:r>
      <w:r>
        <w:fldChar w:fldCharType="end"/>
      </w:r>
      <w:bookmarkEnd w:id="0"/>
      <w:r>
        <w:rPr>
          <w:lang w:val="en-GB"/>
        </w:rPr>
        <w:t xml:space="preserve">: </w:t>
      </w:r>
      <w:r w:rsidRPr="00E21F44">
        <w:t>Probability of a cycling a trip of a given distance among adult English cyclists in the National Travel Survey, and among adult Dutch e-bike owners</w:t>
      </w:r>
    </w:p>
    <w:p w:rsidR="002B1C0C" w:rsidRDefault="002B1C0C" w:rsidP="002B1C0C">
      <w:pPr>
        <w:jc w:val="both"/>
      </w:pPr>
      <w:r>
        <w:t>In the ‘e-bike’ versions of scenarios</w:t>
      </w:r>
      <w:r w:rsidRPr="000F4852">
        <w:rPr>
          <w:rStyle w:val="FootnoteReference"/>
        </w:rPr>
        <w:footnoteReference w:id="1"/>
      </w:r>
      <w:r>
        <w:t>, the probabilities of cycling longer trips are generated from adults age 18-84 in the Netherlands Travel Survey (2013-14). Using these data, we defined e-bike cyclists as those who has access to an e-bike, which was 10.1% of the sample population. For these e-bike owners we calculated the probability that they cycled trips of different lengths (see S Table 2</w:t>
      </w:r>
      <w:r w:rsidRPr="00BF6039">
        <w:t>).</w:t>
      </w:r>
      <w:r>
        <w:t xml:space="preserve"> Interestingly we found that e-bike owners did not use e-bikes for all their cycling trips but for the shortest trips also used traditional bikes – for example, e-bike owners used traditional bikes for almost a third of their cycle trips with distance under 3 miles (see S Table 2). We calculated e-bike probabilities of cycling trips of different lengths without stratifying </w:t>
      </w:r>
      <w:r>
        <w:lastRenderedPageBreak/>
        <w:t xml:space="preserve">by gender or age, under the assumption that e-bikes allow women/older people women to cycle as far as men/younger people. </w:t>
      </w:r>
    </w:p>
    <w:p w:rsidR="002B1C0C" w:rsidRDefault="002B1C0C" w:rsidP="002B1C0C">
      <w:pPr>
        <w:jc w:val="both"/>
      </w:pPr>
      <w:r>
        <w:t>Note that the probabilistic application of the distance-based probabilities means that an individual who becomes a regular cyclist (step 1) will not always have any trips switched to cycling (step 2). This could be because she did not in fact make any trips in the past week</w:t>
      </w:r>
      <w:r w:rsidRPr="000F4852">
        <w:rPr>
          <w:rStyle w:val="FootnoteReference"/>
        </w:rPr>
        <w:footnoteReference w:id="2"/>
      </w:r>
      <w:r>
        <w:t>; because all of her actual trips were too long; or because, by chance, none of her shorter trips were switched to cycling. Thus the population can be split into four groups:</w:t>
      </w:r>
    </w:p>
    <w:p w:rsidR="002B1C0C" w:rsidRDefault="002B1C0C" w:rsidP="002B1C0C">
      <w:pPr>
        <w:pStyle w:val="ListParagraph"/>
        <w:numPr>
          <w:ilvl w:val="0"/>
          <w:numId w:val="1"/>
        </w:numPr>
        <w:jc w:val="both"/>
      </w:pPr>
      <w:r>
        <w:rPr>
          <w:b/>
        </w:rPr>
        <w:t>Existing cyclist:</w:t>
      </w:r>
      <w:r>
        <w:t xml:space="preserve"> an individual who reports trips made by cycle in their travel diary, and so is a cyclist in both the baseline population and in the scenario.</w:t>
      </w:r>
    </w:p>
    <w:p w:rsidR="002B1C0C" w:rsidRDefault="002B1C0C" w:rsidP="002B1C0C">
      <w:pPr>
        <w:pStyle w:val="ListParagraph"/>
        <w:numPr>
          <w:ilvl w:val="0"/>
          <w:numId w:val="1"/>
        </w:numPr>
        <w:jc w:val="both"/>
      </w:pPr>
      <w:r>
        <w:rPr>
          <w:b/>
        </w:rPr>
        <w:t>Regular cyclist:</w:t>
      </w:r>
      <w:r>
        <w:t xml:space="preserve"> an individual who is not a cyclist in the baseline population, but who is modelled as becoming a cyclist in the scenario (but may or may not actually switch any trip to cycling)</w:t>
      </w:r>
    </w:p>
    <w:p w:rsidR="002B1C0C" w:rsidRDefault="002B1C0C" w:rsidP="002B1C0C">
      <w:pPr>
        <w:pStyle w:val="ListParagraph"/>
        <w:numPr>
          <w:ilvl w:val="0"/>
          <w:numId w:val="1"/>
        </w:numPr>
        <w:jc w:val="both"/>
      </w:pPr>
      <w:r>
        <w:rPr>
          <w:b/>
        </w:rPr>
        <w:t>New cyclist:</w:t>
      </w:r>
      <w:r>
        <w:t xml:space="preserve"> an individual who is not a cyclist in the baseline population, who is modelled as becoming a cyclist in the scenario, </w:t>
      </w:r>
      <w:r>
        <w:rPr>
          <w:i/>
        </w:rPr>
        <w:t>and who switches</w:t>
      </w:r>
      <w:r>
        <w:t xml:space="preserve"> at least one of their trips to cycling. New cyclists are thus a subset within regular cyclists.</w:t>
      </w:r>
    </w:p>
    <w:p w:rsidR="002B1C0C" w:rsidRDefault="002B1C0C" w:rsidP="002B1C0C">
      <w:pPr>
        <w:pStyle w:val="ListParagraph"/>
        <w:numPr>
          <w:ilvl w:val="0"/>
          <w:numId w:val="1"/>
        </w:numPr>
        <w:jc w:val="both"/>
      </w:pPr>
      <w:r>
        <w:rPr>
          <w:b/>
        </w:rPr>
        <w:t>Non-cyclist</w:t>
      </w:r>
      <w:r>
        <w:t>: an individual who is not a cyclist in the baseline population, and who is not modelled as becoming a regular cyclist in the scenario.</w:t>
      </w:r>
    </w:p>
    <w:p w:rsidR="002B1C0C" w:rsidRDefault="002B1C0C" w:rsidP="002B1C0C">
      <w:pPr>
        <w:pStyle w:val="Caption"/>
        <w:keepNext/>
        <w:jc w:val="center"/>
      </w:pPr>
      <w:r>
        <w:t>S</w:t>
      </w:r>
      <w:r w:rsidR="000B4666">
        <w:t>2</w:t>
      </w:r>
      <w:r>
        <w:t xml:space="preserve"> Table</w:t>
      </w:r>
      <w:r w:rsidR="001235C8">
        <w:t xml:space="preserve"> </w:t>
      </w:r>
      <w:r w:rsidR="000B4666">
        <w:t>1</w:t>
      </w:r>
      <w:r>
        <w:rPr>
          <w:rStyle w:val="FootnoteReference"/>
        </w:rPr>
        <w:footnoteReference w:id="3"/>
      </w:r>
      <w:r>
        <w:t>: Probability of Cycling a Trip of a Given Distance in the week diary among Cyclists</w:t>
      </w:r>
    </w:p>
    <w:tbl>
      <w:tblPr>
        <w:tblW w:w="5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011"/>
        <w:gridCol w:w="960"/>
        <w:gridCol w:w="1161"/>
        <w:gridCol w:w="960"/>
      </w:tblGrid>
      <w:tr w:rsidR="002B1C0C" w:rsidTr="004B196C">
        <w:trPr>
          <w:trHeight w:val="330"/>
          <w:jc w:val="center"/>
        </w:trPr>
        <w:tc>
          <w:tcPr>
            <w:tcW w:w="1731" w:type="dxa"/>
            <w:shd w:val="clear" w:color="auto" w:fill="FFFFFF" w:themeFill="background1"/>
            <w:noWrap/>
            <w:vAlign w:val="center"/>
            <w:hideMark/>
          </w:tcPr>
          <w:p w:rsidR="002B1C0C" w:rsidRPr="00241540" w:rsidRDefault="002B1C0C" w:rsidP="004B196C">
            <w:pPr>
              <w:spacing w:after="0" w:line="240" w:lineRule="auto"/>
              <w:jc w:val="center"/>
              <w:rPr>
                <w:rFonts w:eastAsia="Times New Roman"/>
                <w:b/>
                <w:bCs/>
                <w:color w:val="000000" w:themeColor="text1"/>
                <w:lang w:eastAsia="en-GB"/>
              </w:rPr>
            </w:pPr>
            <w:r w:rsidRPr="00241540">
              <w:rPr>
                <w:b/>
                <w:color w:val="000000" w:themeColor="text1"/>
              </w:rPr>
              <w:t>Distance  (miles)</w:t>
            </w:r>
          </w:p>
        </w:tc>
        <w:tc>
          <w:tcPr>
            <w:tcW w:w="1011" w:type="dxa"/>
            <w:shd w:val="clear" w:color="auto" w:fill="FFFFFF" w:themeFill="background1"/>
            <w:noWrap/>
            <w:vAlign w:val="center"/>
            <w:hideMark/>
          </w:tcPr>
          <w:p w:rsidR="002B1C0C" w:rsidRPr="00241540" w:rsidRDefault="002B1C0C" w:rsidP="004B196C">
            <w:pPr>
              <w:spacing w:after="0" w:line="240" w:lineRule="auto"/>
              <w:jc w:val="center"/>
              <w:rPr>
                <w:rFonts w:eastAsia="Times New Roman"/>
                <w:b/>
                <w:bCs/>
                <w:color w:val="000000" w:themeColor="text1"/>
                <w:lang w:eastAsia="en-GB"/>
              </w:rPr>
            </w:pPr>
            <w:r w:rsidRPr="00241540">
              <w:rPr>
                <w:b/>
                <w:color w:val="000000" w:themeColor="text1"/>
              </w:rPr>
              <w:t>Female 18-59</w:t>
            </w:r>
          </w:p>
        </w:tc>
        <w:tc>
          <w:tcPr>
            <w:tcW w:w="960" w:type="dxa"/>
            <w:shd w:val="clear" w:color="auto" w:fill="FFFFFF" w:themeFill="background1"/>
            <w:noWrap/>
            <w:vAlign w:val="center"/>
            <w:hideMark/>
          </w:tcPr>
          <w:p w:rsidR="002B1C0C" w:rsidRPr="00241540" w:rsidRDefault="002B1C0C" w:rsidP="004B196C">
            <w:pPr>
              <w:spacing w:after="0" w:line="240" w:lineRule="auto"/>
              <w:jc w:val="center"/>
              <w:rPr>
                <w:rFonts w:eastAsia="Times New Roman"/>
                <w:b/>
                <w:bCs/>
                <w:color w:val="000000" w:themeColor="text1"/>
                <w:lang w:eastAsia="en-GB"/>
              </w:rPr>
            </w:pPr>
            <w:r w:rsidRPr="00241540">
              <w:rPr>
                <w:b/>
                <w:color w:val="000000" w:themeColor="text1"/>
              </w:rPr>
              <w:t>Female 60-84</w:t>
            </w:r>
          </w:p>
        </w:tc>
        <w:tc>
          <w:tcPr>
            <w:tcW w:w="1161" w:type="dxa"/>
            <w:shd w:val="clear" w:color="auto" w:fill="FFFFFF" w:themeFill="background1"/>
            <w:noWrap/>
            <w:vAlign w:val="center"/>
            <w:hideMark/>
          </w:tcPr>
          <w:p w:rsidR="002B1C0C" w:rsidRPr="00241540" w:rsidRDefault="002B1C0C" w:rsidP="004B196C">
            <w:pPr>
              <w:spacing w:after="0" w:line="240" w:lineRule="auto"/>
              <w:jc w:val="center"/>
              <w:rPr>
                <w:rFonts w:eastAsia="Times New Roman"/>
                <w:b/>
                <w:bCs/>
                <w:color w:val="000000" w:themeColor="text1"/>
                <w:lang w:eastAsia="en-GB"/>
              </w:rPr>
            </w:pPr>
            <w:r w:rsidRPr="00241540">
              <w:rPr>
                <w:b/>
                <w:color w:val="000000" w:themeColor="text1"/>
              </w:rPr>
              <w:t>Male 18-59</w:t>
            </w:r>
          </w:p>
        </w:tc>
        <w:tc>
          <w:tcPr>
            <w:tcW w:w="960" w:type="dxa"/>
            <w:shd w:val="clear" w:color="auto" w:fill="FFFFFF" w:themeFill="background1"/>
            <w:noWrap/>
            <w:vAlign w:val="center"/>
            <w:hideMark/>
          </w:tcPr>
          <w:p w:rsidR="002B1C0C" w:rsidRPr="00241540" w:rsidRDefault="002B1C0C" w:rsidP="004B196C">
            <w:pPr>
              <w:spacing w:after="0" w:line="240" w:lineRule="auto"/>
              <w:jc w:val="center"/>
              <w:rPr>
                <w:rFonts w:eastAsia="Times New Roman"/>
                <w:b/>
                <w:bCs/>
                <w:color w:val="000000" w:themeColor="text1"/>
                <w:lang w:eastAsia="en-GB"/>
              </w:rPr>
            </w:pPr>
            <w:r w:rsidRPr="00241540">
              <w:rPr>
                <w:b/>
                <w:color w:val="000000" w:themeColor="text1"/>
              </w:rPr>
              <w:t>Male 60-84</w:t>
            </w:r>
          </w:p>
        </w:tc>
      </w:tr>
      <w:tr w:rsidR="002B1C0C" w:rsidTr="004B196C">
        <w:trPr>
          <w:trHeight w:val="330"/>
          <w:jc w:val="center"/>
        </w:trPr>
        <w:tc>
          <w:tcPr>
            <w:tcW w:w="1731" w:type="dxa"/>
            <w:shd w:val="clear" w:color="auto" w:fill="auto"/>
            <w:noWrap/>
            <w:vAlign w:val="bottom"/>
            <w:hideMark/>
          </w:tcPr>
          <w:p w:rsidR="002B1C0C" w:rsidRPr="00816A09" w:rsidRDefault="002B1C0C" w:rsidP="004B196C">
            <w:pPr>
              <w:spacing w:after="0" w:line="240" w:lineRule="auto"/>
              <w:rPr>
                <w:color w:val="000000"/>
              </w:rPr>
            </w:pPr>
            <w:r>
              <w:rPr>
                <w:rFonts w:eastAsia="Times New Roman"/>
                <w:color w:val="000000"/>
                <w:sz w:val="22"/>
                <w:szCs w:val="22"/>
                <w:lang w:eastAsia="en-GB"/>
              </w:rPr>
              <w:t>&lt;0.5 miles</w:t>
            </w:r>
          </w:p>
        </w:tc>
        <w:tc>
          <w:tcPr>
            <w:tcW w:w="1011"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11.3%</w:t>
            </w:r>
          </w:p>
        </w:tc>
        <w:tc>
          <w:tcPr>
            <w:tcW w:w="960"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23.2%</w:t>
            </w:r>
          </w:p>
        </w:tc>
        <w:tc>
          <w:tcPr>
            <w:tcW w:w="1161"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7.4%</w:t>
            </w:r>
          </w:p>
        </w:tc>
        <w:tc>
          <w:tcPr>
            <w:tcW w:w="960"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13.9%</w:t>
            </w:r>
          </w:p>
        </w:tc>
      </w:tr>
      <w:tr w:rsidR="002B1C0C" w:rsidTr="004B196C">
        <w:trPr>
          <w:trHeight w:hRule="exact" w:val="330"/>
          <w:jc w:val="center"/>
        </w:trPr>
        <w:tc>
          <w:tcPr>
            <w:tcW w:w="1731" w:type="dxa"/>
            <w:shd w:val="clear" w:color="auto" w:fill="auto"/>
            <w:noWrap/>
            <w:vAlign w:val="bottom"/>
            <w:hideMark/>
          </w:tcPr>
          <w:p w:rsidR="002B1C0C" w:rsidRPr="00816A09" w:rsidRDefault="002B1C0C" w:rsidP="004B196C">
            <w:pPr>
              <w:spacing w:after="0" w:line="240" w:lineRule="auto"/>
              <w:rPr>
                <w:color w:val="000000"/>
              </w:rPr>
            </w:pPr>
            <w:r>
              <w:rPr>
                <w:rFonts w:eastAsia="Times New Roman"/>
                <w:color w:val="000000"/>
                <w:sz w:val="22"/>
                <w:szCs w:val="22"/>
                <w:lang w:eastAsia="en-GB"/>
              </w:rPr>
              <w:t>0.5 to &lt;1.5 miles</w:t>
            </w:r>
          </w:p>
        </w:tc>
        <w:tc>
          <w:tcPr>
            <w:tcW w:w="1011"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26.5%</w:t>
            </w:r>
          </w:p>
        </w:tc>
        <w:tc>
          <w:tcPr>
            <w:tcW w:w="960"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37.3%</w:t>
            </w:r>
          </w:p>
        </w:tc>
        <w:tc>
          <w:tcPr>
            <w:tcW w:w="1161"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28.3%</w:t>
            </w:r>
          </w:p>
        </w:tc>
        <w:tc>
          <w:tcPr>
            <w:tcW w:w="960"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34.0%</w:t>
            </w:r>
          </w:p>
        </w:tc>
      </w:tr>
      <w:tr w:rsidR="002B1C0C" w:rsidTr="004B196C">
        <w:trPr>
          <w:trHeight w:val="330"/>
          <w:jc w:val="center"/>
        </w:trPr>
        <w:tc>
          <w:tcPr>
            <w:tcW w:w="1731" w:type="dxa"/>
            <w:shd w:val="clear" w:color="auto" w:fill="auto"/>
            <w:noWrap/>
            <w:vAlign w:val="bottom"/>
            <w:hideMark/>
          </w:tcPr>
          <w:p w:rsidR="002B1C0C" w:rsidRPr="00816A09" w:rsidRDefault="002B1C0C" w:rsidP="004B196C">
            <w:pPr>
              <w:spacing w:after="0" w:line="240" w:lineRule="auto"/>
              <w:rPr>
                <w:color w:val="000000"/>
              </w:rPr>
            </w:pPr>
            <w:r>
              <w:rPr>
                <w:rFonts w:eastAsia="Times New Roman"/>
                <w:color w:val="000000"/>
                <w:sz w:val="22"/>
                <w:szCs w:val="22"/>
                <w:lang w:eastAsia="en-GB"/>
              </w:rPr>
              <w:t>1.5 to &lt;2.5 miles</w:t>
            </w:r>
          </w:p>
        </w:tc>
        <w:tc>
          <w:tcPr>
            <w:tcW w:w="1011"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33.8%</w:t>
            </w:r>
          </w:p>
        </w:tc>
        <w:tc>
          <w:tcPr>
            <w:tcW w:w="960"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30.1%</w:t>
            </w:r>
          </w:p>
        </w:tc>
        <w:tc>
          <w:tcPr>
            <w:tcW w:w="1161"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42.0%</w:t>
            </w:r>
          </w:p>
        </w:tc>
        <w:tc>
          <w:tcPr>
            <w:tcW w:w="960"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33.0%</w:t>
            </w:r>
          </w:p>
        </w:tc>
      </w:tr>
      <w:tr w:rsidR="002B1C0C" w:rsidTr="004B196C">
        <w:trPr>
          <w:trHeight w:hRule="exact" w:val="330"/>
          <w:jc w:val="center"/>
        </w:trPr>
        <w:tc>
          <w:tcPr>
            <w:tcW w:w="1731" w:type="dxa"/>
            <w:shd w:val="clear" w:color="auto" w:fill="auto"/>
            <w:noWrap/>
            <w:vAlign w:val="bottom"/>
            <w:hideMark/>
          </w:tcPr>
          <w:p w:rsidR="002B1C0C" w:rsidRPr="00816A09" w:rsidRDefault="002B1C0C" w:rsidP="004B196C">
            <w:pPr>
              <w:spacing w:after="0" w:line="240" w:lineRule="auto"/>
              <w:rPr>
                <w:color w:val="000000"/>
              </w:rPr>
            </w:pPr>
            <w:r>
              <w:rPr>
                <w:rFonts w:eastAsia="Times New Roman"/>
                <w:color w:val="000000"/>
                <w:sz w:val="22"/>
                <w:szCs w:val="22"/>
                <w:lang w:eastAsia="en-GB"/>
              </w:rPr>
              <w:t>2.5 to &lt;3.5 miles</w:t>
            </w:r>
          </w:p>
        </w:tc>
        <w:tc>
          <w:tcPr>
            <w:tcW w:w="1011"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30.4%</w:t>
            </w:r>
          </w:p>
        </w:tc>
        <w:tc>
          <w:tcPr>
            <w:tcW w:w="960"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28.4%</w:t>
            </w:r>
          </w:p>
        </w:tc>
        <w:tc>
          <w:tcPr>
            <w:tcW w:w="1161"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42.7%</w:t>
            </w:r>
          </w:p>
        </w:tc>
        <w:tc>
          <w:tcPr>
            <w:tcW w:w="960"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28.0%</w:t>
            </w:r>
          </w:p>
        </w:tc>
      </w:tr>
      <w:tr w:rsidR="002B1C0C" w:rsidTr="004B196C">
        <w:trPr>
          <w:trHeight w:val="330"/>
          <w:jc w:val="center"/>
        </w:trPr>
        <w:tc>
          <w:tcPr>
            <w:tcW w:w="1731" w:type="dxa"/>
            <w:shd w:val="clear" w:color="auto" w:fill="auto"/>
            <w:noWrap/>
            <w:vAlign w:val="bottom"/>
            <w:hideMark/>
          </w:tcPr>
          <w:p w:rsidR="002B1C0C" w:rsidRPr="00816A09" w:rsidRDefault="002B1C0C" w:rsidP="004B196C">
            <w:pPr>
              <w:spacing w:after="0" w:line="240" w:lineRule="auto"/>
              <w:rPr>
                <w:color w:val="000000"/>
              </w:rPr>
            </w:pPr>
            <w:r>
              <w:rPr>
                <w:rFonts w:eastAsia="Times New Roman"/>
                <w:color w:val="000000"/>
                <w:sz w:val="22"/>
                <w:szCs w:val="22"/>
                <w:lang w:eastAsia="en-GB"/>
              </w:rPr>
              <w:t>3.5 to &lt;4.5 miles</w:t>
            </w:r>
          </w:p>
        </w:tc>
        <w:tc>
          <w:tcPr>
            <w:tcW w:w="1011"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22.9%</w:t>
            </w:r>
          </w:p>
        </w:tc>
        <w:tc>
          <w:tcPr>
            <w:tcW w:w="960"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14.7%</w:t>
            </w:r>
          </w:p>
        </w:tc>
        <w:tc>
          <w:tcPr>
            <w:tcW w:w="1161"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34.8%</w:t>
            </w:r>
          </w:p>
        </w:tc>
        <w:tc>
          <w:tcPr>
            <w:tcW w:w="960"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23.6%</w:t>
            </w:r>
          </w:p>
        </w:tc>
      </w:tr>
      <w:tr w:rsidR="002B1C0C" w:rsidTr="004B196C">
        <w:trPr>
          <w:trHeight w:hRule="exact" w:val="330"/>
          <w:jc w:val="center"/>
        </w:trPr>
        <w:tc>
          <w:tcPr>
            <w:tcW w:w="1731" w:type="dxa"/>
            <w:shd w:val="clear" w:color="auto" w:fill="auto"/>
            <w:noWrap/>
            <w:vAlign w:val="bottom"/>
            <w:hideMark/>
          </w:tcPr>
          <w:p w:rsidR="002B1C0C" w:rsidRPr="00816A09" w:rsidRDefault="002B1C0C" w:rsidP="004B196C">
            <w:pPr>
              <w:spacing w:after="0" w:line="240" w:lineRule="auto"/>
              <w:rPr>
                <w:color w:val="000000"/>
              </w:rPr>
            </w:pPr>
            <w:r>
              <w:rPr>
                <w:rFonts w:eastAsia="Times New Roman"/>
                <w:color w:val="000000"/>
                <w:sz w:val="22"/>
                <w:szCs w:val="22"/>
                <w:lang w:eastAsia="en-GB"/>
              </w:rPr>
              <w:t>4.5 to &lt;5.5 miles</w:t>
            </w:r>
          </w:p>
        </w:tc>
        <w:tc>
          <w:tcPr>
            <w:tcW w:w="1011"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18.1%</w:t>
            </w:r>
          </w:p>
        </w:tc>
        <w:tc>
          <w:tcPr>
            <w:tcW w:w="960"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14.7%</w:t>
            </w:r>
          </w:p>
        </w:tc>
        <w:tc>
          <w:tcPr>
            <w:tcW w:w="1161"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33.9%</w:t>
            </w:r>
          </w:p>
        </w:tc>
        <w:tc>
          <w:tcPr>
            <w:tcW w:w="960"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21.9%</w:t>
            </w:r>
          </w:p>
        </w:tc>
      </w:tr>
      <w:tr w:rsidR="002B1C0C" w:rsidTr="004B196C">
        <w:trPr>
          <w:trHeight w:val="330"/>
          <w:jc w:val="center"/>
        </w:trPr>
        <w:tc>
          <w:tcPr>
            <w:tcW w:w="1731" w:type="dxa"/>
            <w:shd w:val="clear" w:color="auto" w:fill="auto"/>
            <w:noWrap/>
            <w:vAlign w:val="bottom"/>
            <w:hideMark/>
          </w:tcPr>
          <w:p w:rsidR="002B1C0C" w:rsidRPr="00816A09" w:rsidRDefault="002B1C0C" w:rsidP="004B196C">
            <w:pPr>
              <w:spacing w:after="0" w:line="240" w:lineRule="auto"/>
              <w:rPr>
                <w:color w:val="000000"/>
              </w:rPr>
            </w:pPr>
            <w:r>
              <w:rPr>
                <w:rFonts w:eastAsia="Times New Roman"/>
                <w:color w:val="000000"/>
                <w:sz w:val="22"/>
                <w:szCs w:val="22"/>
                <w:lang w:eastAsia="en-GB"/>
              </w:rPr>
              <w:t>5.5 to &lt;6.5 miles</w:t>
            </w:r>
          </w:p>
        </w:tc>
        <w:tc>
          <w:tcPr>
            <w:tcW w:w="1011"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18.1%</w:t>
            </w:r>
          </w:p>
        </w:tc>
        <w:tc>
          <w:tcPr>
            <w:tcW w:w="960"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8.7%</w:t>
            </w:r>
          </w:p>
        </w:tc>
        <w:tc>
          <w:tcPr>
            <w:tcW w:w="1161"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31.4%</w:t>
            </w:r>
          </w:p>
        </w:tc>
        <w:tc>
          <w:tcPr>
            <w:tcW w:w="960"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21.9%</w:t>
            </w:r>
          </w:p>
        </w:tc>
      </w:tr>
      <w:tr w:rsidR="002B1C0C" w:rsidTr="004B196C">
        <w:trPr>
          <w:trHeight w:hRule="exact" w:val="330"/>
          <w:jc w:val="center"/>
        </w:trPr>
        <w:tc>
          <w:tcPr>
            <w:tcW w:w="1731" w:type="dxa"/>
            <w:shd w:val="clear" w:color="auto" w:fill="auto"/>
            <w:noWrap/>
            <w:vAlign w:val="bottom"/>
            <w:hideMark/>
          </w:tcPr>
          <w:p w:rsidR="002B1C0C" w:rsidRPr="00816A09" w:rsidRDefault="002B1C0C" w:rsidP="004B196C">
            <w:pPr>
              <w:spacing w:after="0" w:line="240" w:lineRule="auto"/>
              <w:rPr>
                <w:color w:val="000000"/>
              </w:rPr>
            </w:pPr>
            <w:r>
              <w:rPr>
                <w:rFonts w:eastAsia="Times New Roman"/>
                <w:color w:val="000000"/>
                <w:sz w:val="22"/>
                <w:szCs w:val="22"/>
                <w:lang w:eastAsia="en-GB"/>
              </w:rPr>
              <w:t>6.5 to &lt;9.5 miles</w:t>
            </w:r>
          </w:p>
        </w:tc>
        <w:tc>
          <w:tcPr>
            <w:tcW w:w="1011"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15.1%</w:t>
            </w:r>
          </w:p>
        </w:tc>
        <w:tc>
          <w:tcPr>
            <w:tcW w:w="960"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5.8%</w:t>
            </w:r>
          </w:p>
        </w:tc>
        <w:tc>
          <w:tcPr>
            <w:tcW w:w="1161"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27.9%</w:t>
            </w:r>
          </w:p>
        </w:tc>
        <w:tc>
          <w:tcPr>
            <w:tcW w:w="960"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18.2%</w:t>
            </w:r>
          </w:p>
        </w:tc>
      </w:tr>
      <w:tr w:rsidR="002B1C0C" w:rsidTr="004B196C">
        <w:trPr>
          <w:trHeight w:val="330"/>
          <w:jc w:val="center"/>
        </w:trPr>
        <w:tc>
          <w:tcPr>
            <w:tcW w:w="1731" w:type="dxa"/>
            <w:shd w:val="clear" w:color="auto" w:fill="auto"/>
            <w:noWrap/>
            <w:vAlign w:val="bottom"/>
            <w:hideMark/>
          </w:tcPr>
          <w:p w:rsidR="002B1C0C" w:rsidRPr="00816A09" w:rsidRDefault="002B1C0C" w:rsidP="004B196C">
            <w:pPr>
              <w:spacing w:after="0" w:line="240" w:lineRule="auto"/>
              <w:rPr>
                <w:color w:val="000000"/>
              </w:rPr>
            </w:pPr>
            <w:r>
              <w:rPr>
                <w:rFonts w:eastAsia="Times New Roman"/>
                <w:color w:val="000000"/>
                <w:sz w:val="22"/>
                <w:szCs w:val="22"/>
                <w:lang w:eastAsia="en-GB"/>
              </w:rPr>
              <w:t>9.5 to &lt;12.5 miles</w:t>
            </w:r>
          </w:p>
        </w:tc>
        <w:tc>
          <w:tcPr>
            <w:tcW w:w="1011"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5.0%</w:t>
            </w:r>
          </w:p>
        </w:tc>
        <w:tc>
          <w:tcPr>
            <w:tcW w:w="960" w:type="dxa"/>
            <w:shd w:val="clear" w:color="auto" w:fill="auto"/>
            <w:noWrap/>
            <w:vAlign w:val="center"/>
            <w:hideMark/>
          </w:tcPr>
          <w:p w:rsidR="002B1C0C" w:rsidRPr="00816A09" w:rsidRDefault="002B1C0C" w:rsidP="004B196C">
            <w:pPr>
              <w:spacing w:after="0" w:line="240" w:lineRule="auto"/>
              <w:jc w:val="right"/>
              <w:rPr>
                <w:color w:val="000000"/>
              </w:rPr>
            </w:pPr>
            <w:r>
              <w:rPr>
                <w:rFonts w:eastAsia="Times New Roman"/>
                <w:color w:val="000000"/>
                <w:lang w:eastAsia="en-GB"/>
              </w:rPr>
              <w:t>5.8%</w:t>
            </w:r>
          </w:p>
        </w:tc>
        <w:tc>
          <w:tcPr>
            <w:tcW w:w="1161"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20.2%</w:t>
            </w:r>
          </w:p>
        </w:tc>
        <w:tc>
          <w:tcPr>
            <w:tcW w:w="960"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14.6%</w:t>
            </w:r>
          </w:p>
        </w:tc>
      </w:tr>
      <w:tr w:rsidR="002B1C0C" w:rsidTr="004B196C">
        <w:trPr>
          <w:trHeight w:hRule="exact" w:val="330"/>
          <w:jc w:val="center"/>
        </w:trPr>
        <w:tc>
          <w:tcPr>
            <w:tcW w:w="1731" w:type="dxa"/>
            <w:shd w:val="clear" w:color="auto" w:fill="auto"/>
            <w:noWrap/>
            <w:vAlign w:val="bottom"/>
            <w:hideMark/>
          </w:tcPr>
          <w:p w:rsidR="002B1C0C" w:rsidRPr="00816A09" w:rsidRDefault="002B1C0C" w:rsidP="004B196C">
            <w:pPr>
              <w:spacing w:after="0" w:line="240" w:lineRule="auto"/>
              <w:rPr>
                <w:color w:val="000000"/>
              </w:rPr>
            </w:pPr>
            <w:r>
              <w:rPr>
                <w:rFonts w:eastAsia="Times New Roman"/>
                <w:color w:val="000000"/>
                <w:sz w:val="22"/>
                <w:szCs w:val="22"/>
                <w:lang w:eastAsia="en-GB"/>
              </w:rPr>
              <w:t>12.5 to &lt;15.5 miles</w:t>
            </w:r>
          </w:p>
        </w:tc>
        <w:tc>
          <w:tcPr>
            <w:tcW w:w="1011"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2.7%</w:t>
            </w:r>
          </w:p>
        </w:tc>
        <w:tc>
          <w:tcPr>
            <w:tcW w:w="960"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1.3%</w:t>
            </w:r>
          </w:p>
        </w:tc>
        <w:tc>
          <w:tcPr>
            <w:tcW w:w="1161"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16.3%</w:t>
            </w:r>
          </w:p>
        </w:tc>
        <w:tc>
          <w:tcPr>
            <w:tcW w:w="960"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10.5%</w:t>
            </w:r>
          </w:p>
        </w:tc>
      </w:tr>
      <w:tr w:rsidR="002B1C0C" w:rsidTr="004B196C">
        <w:trPr>
          <w:trHeight w:val="330"/>
          <w:jc w:val="center"/>
        </w:trPr>
        <w:tc>
          <w:tcPr>
            <w:tcW w:w="1731" w:type="dxa"/>
            <w:shd w:val="clear" w:color="auto" w:fill="auto"/>
            <w:noWrap/>
            <w:vAlign w:val="bottom"/>
            <w:hideMark/>
          </w:tcPr>
          <w:p w:rsidR="002B1C0C" w:rsidRPr="00816A09" w:rsidRDefault="002B1C0C" w:rsidP="004B196C">
            <w:pPr>
              <w:spacing w:after="0" w:line="240" w:lineRule="auto"/>
              <w:rPr>
                <w:color w:val="000000"/>
              </w:rPr>
            </w:pPr>
            <w:r>
              <w:rPr>
                <w:rFonts w:eastAsia="Times New Roman"/>
                <w:color w:val="000000"/>
                <w:sz w:val="22"/>
                <w:szCs w:val="22"/>
                <w:lang w:eastAsia="en-GB"/>
              </w:rPr>
              <w:t>15.5 to &lt;20.5 miles</w:t>
            </w:r>
          </w:p>
        </w:tc>
        <w:tc>
          <w:tcPr>
            <w:tcW w:w="1011"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2.7%</w:t>
            </w:r>
          </w:p>
        </w:tc>
        <w:tc>
          <w:tcPr>
            <w:tcW w:w="960"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1.3%</w:t>
            </w:r>
          </w:p>
        </w:tc>
        <w:tc>
          <w:tcPr>
            <w:tcW w:w="1161"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8.9%</w:t>
            </w:r>
          </w:p>
        </w:tc>
        <w:tc>
          <w:tcPr>
            <w:tcW w:w="960"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6.0%</w:t>
            </w:r>
          </w:p>
        </w:tc>
      </w:tr>
      <w:tr w:rsidR="002B1C0C" w:rsidTr="004B196C">
        <w:trPr>
          <w:trHeight w:hRule="exact" w:val="330"/>
          <w:jc w:val="center"/>
        </w:trPr>
        <w:tc>
          <w:tcPr>
            <w:tcW w:w="1731" w:type="dxa"/>
            <w:shd w:val="clear" w:color="auto" w:fill="auto"/>
            <w:noWrap/>
            <w:vAlign w:val="bottom"/>
            <w:hideMark/>
          </w:tcPr>
          <w:p w:rsidR="002B1C0C" w:rsidRPr="00816A09" w:rsidRDefault="002B1C0C" w:rsidP="004B196C">
            <w:pPr>
              <w:spacing w:after="0" w:line="240" w:lineRule="auto"/>
              <w:rPr>
                <w:color w:val="000000"/>
              </w:rPr>
            </w:pPr>
            <w:r>
              <w:rPr>
                <w:rFonts w:eastAsia="Times New Roman"/>
                <w:color w:val="000000"/>
                <w:sz w:val="22"/>
                <w:szCs w:val="22"/>
                <w:lang w:eastAsia="en-GB"/>
              </w:rPr>
              <w:t>&gt;20.5 miles</w:t>
            </w:r>
          </w:p>
        </w:tc>
        <w:tc>
          <w:tcPr>
            <w:tcW w:w="1011"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0.0%</w:t>
            </w:r>
          </w:p>
        </w:tc>
        <w:tc>
          <w:tcPr>
            <w:tcW w:w="960"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0.0%</w:t>
            </w:r>
          </w:p>
        </w:tc>
        <w:tc>
          <w:tcPr>
            <w:tcW w:w="1161"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0.0%</w:t>
            </w:r>
          </w:p>
        </w:tc>
        <w:tc>
          <w:tcPr>
            <w:tcW w:w="960" w:type="dxa"/>
            <w:shd w:val="clear" w:color="auto" w:fill="auto"/>
            <w:noWrap/>
            <w:vAlign w:val="center"/>
            <w:hideMark/>
          </w:tcPr>
          <w:p w:rsidR="002B1C0C" w:rsidRDefault="002B1C0C" w:rsidP="004B196C">
            <w:pPr>
              <w:spacing w:after="0" w:line="240" w:lineRule="auto"/>
              <w:jc w:val="right"/>
              <w:rPr>
                <w:rFonts w:eastAsia="Times New Roman"/>
                <w:color w:val="000000"/>
                <w:lang w:eastAsia="en-GB"/>
              </w:rPr>
            </w:pPr>
            <w:r>
              <w:rPr>
                <w:rFonts w:eastAsia="Times New Roman"/>
                <w:color w:val="000000"/>
                <w:lang w:eastAsia="en-GB"/>
              </w:rPr>
              <w:t>0.0%</w:t>
            </w:r>
          </w:p>
        </w:tc>
      </w:tr>
    </w:tbl>
    <w:p w:rsidR="002B1C0C" w:rsidRDefault="002B1C0C" w:rsidP="002B1C0C">
      <w:pPr>
        <w:pStyle w:val="Caption"/>
        <w:keepNext/>
        <w:jc w:val="center"/>
      </w:pPr>
      <w:bookmarkStart w:id="1" w:name="_Ref505248215"/>
      <w:r w:rsidDel="008F3E04">
        <w:lastRenderedPageBreak/>
        <w:t xml:space="preserve"> </w:t>
      </w:r>
      <w:bookmarkEnd w:id="1"/>
    </w:p>
    <w:p w:rsidR="002B1C0C" w:rsidRDefault="002B1C0C" w:rsidP="002B1C0C">
      <w:pPr>
        <w:pStyle w:val="Caption"/>
        <w:keepNext/>
        <w:jc w:val="center"/>
      </w:pPr>
      <w:bookmarkStart w:id="2" w:name="_Toc432425389"/>
      <w:bookmarkEnd w:id="2"/>
      <w:r>
        <w:t>S</w:t>
      </w:r>
      <w:r w:rsidR="000B4666">
        <w:t>2</w:t>
      </w:r>
      <w:r>
        <w:t xml:space="preserve"> Table </w:t>
      </w:r>
      <w:r w:rsidR="000B4666">
        <w:t>2</w:t>
      </w:r>
      <w:r>
        <w:t xml:space="preserve">: </w:t>
      </w:r>
      <w:r w:rsidRPr="005C1D08">
        <w:t xml:space="preserve">Probability of cycling trips of different </w:t>
      </w:r>
      <w:r w:rsidRPr="009169C4">
        <w:t>distance in e-bike scenario</w:t>
      </w:r>
      <w:r w:rsidRPr="005C1D08">
        <w:t>, and probability that the cycle in question is an e-bike</w:t>
      </w:r>
      <w:r>
        <w:t>.</w:t>
      </w:r>
      <w:r>
        <w:rPr>
          <w:rStyle w:val="FootnoteReference"/>
        </w:rPr>
        <w:footnoteReference w:id="4"/>
      </w:r>
    </w:p>
    <w:tbl>
      <w:tblPr>
        <w:tblStyle w:val="ListTable31"/>
        <w:tblW w:w="8443" w:type="dxa"/>
        <w:tblInd w:w="-113" w:type="dxa"/>
        <w:tblLayout w:type="fixed"/>
        <w:tblLook w:val="0020" w:firstRow="1" w:lastRow="0" w:firstColumn="0" w:lastColumn="0" w:noHBand="0" w:noVBand="0"/>
      </w:tblPr>
      <w:tblGrid>
        <w:gridCol w:w="1242"/>
        <w:gridCol w:w="1560"/>
        <w:gridCol w:w="1417"/>
        <w:gridCol w:w="1559"/>
        <w:gridCol w:w="2665"/>
      </w:tblGrid>
      <w:tr w:rsidR="002B1C0C" w:rsidRPr="009169C4" w:rsidTr="004B196C">
        <w:trPr>
          <w:cnfStyle w:val="100000000000" w:firstRow="1" w:lastRow="0" w:firstColumn="0" w:lastColumn="0" w:oddVBand="0" w:evenVBand="0" w:oddHBand="0" w:evenHBand="0" w:firstRowFirstColumn="0" w:firstRowLastColumn="0" w:lastRowFirstColumn="0" w:lastRowLastColumn="0"/>
          <w:trHeight w:hRule="exact" w:val="629"/>
        </w:trPr>
        <w:tc>
          <w:tcPr>
            <w:cnfStyle w:val="000010000000" w:firstRow="0" w:lastRow="0" w:firstColumn="0" w:lastColumn="0" w:oddVBand="1" w:evenVBand="0" w:oddHBand="0" w:evenHBand="0" w:firstRowFirstColumn="0" w:firstRowLastColumn="0" w:lastRowFirstColumn="0" w:lastRowLastColumn="0"/>
            <w:tcW w:w="1242" w:type="dxa"/>
            <w:shd w:val="clear" w:color="auto" w:fill="FFFFFF" w:themeFill="background1"/>
            <w:noWrap/>
          </w:tcPr>
          <w:p w:rsidR="002B1C0C" w:rsidRPr="009169C4" w:rsidRDefault="002B1C0C" w:rsidP="004B196C">
            <w:pPr>
              <w:jc w:val="center"/>
            </w:pPr>
            <w:r w:rsidRPr="009169C4">
              <w:t>Distance  (miles)</w:t>
            </w:r>
          </w:p>
        </w:tc>
        <w:tc>
          <w:tcPr>
            <w:tcW w:w="4536" w:type="dxa"/>
            <w:gridSpan w:val="3"/>
            <w:shd w:val="clear" w:color="auto" w:fill="FFFFFF" w:themeFill="background1"/>
            <w:noWrap/>
          </w:tcPr>
          <w:p w:rsidR="002B1C0C" w:rsidRPr="009169C4" w:rsidRDefault="002B1C0C" w:rsidP="004B196C">
            <w:pPr>
              <w:jc w:val="center"/>
              <w:cnfStyle w:val="100000000000" w:firstRow="1" w:lastRow="0" w:firstColumn="0" w:lastColumn="0" w:oddVBand="0" w:evenVBand="0" w:oddHBand="0" w:evenHBand="0" w:firstRowFirstColumn="0" w:firstRowLastColumn="0" w:lastRowFirstColumn="0" w:lastRowLastColumn="0"/>
            </w:pPr>
            <w:r w:rsidRPr="009169C4">
              <w:t>Prob. of cycling the trip by:</w:t>
            </w:r>
          </w:p>
        </w:tc>
        <w:tc>
          <w:tcPr>
            <w:cnfStyle w:val="000010000000" w:firstRow="0" w:lastRow="0" w:firstColumn="0" w:lastColumn="0" w:oddVBand="1" w:evenVBand="0" w:oddHBand="0" w:evenHBand="0" w:firstRowFirstColumn="0" w:firstRowLastColumn="0" w:lastRowFirstColumn="0" w:lastRowLastColumn="0"/>
            <w:tcW w:w="2665" w:type="dxa"/>
            <w:vMerge w:val="restart"/>
            <w:shd w:val="clear" w:color="auto" w:fill="FFFFFF" w:themeFill="background1"/>
            <w:noWrap/>
          </w:tcPr>
          <w:p w:rsidR="002B1C0C" w:rsidRPr="009169C4" w:rsidRDefault="002B1C0C" w:rsidP="004B196C">
            <w:pPr>
              <w:jc w:val="center"/>
              <w:rPr>
                <w:color w:val="000000" w:themeColor="text1"/>
              </w:rPr>
            </w:pPr>
            <w:r w:rsidRPr="009169C4">
              <w:t>If the trip is cycled, what is the probability</w:t>
            </w:r>
            <w:r w:rsidRPr="009169C4">
              <w:rPr>
                <w:color w:val="000000" w:themeColor="text1"/>
              </w:rPr>
              <w:t xml:space="preserve"> </w:t>
            </w:r>
            <w:proofErr w:type="spellStart"/>
            <w:r>
              <w:rPr>
                <w:color w:val="000000" w:themeColor="text1"/>
              </w:rPr>
              <w:t>Probability</w:t>
            </w:r>
            <w:proofErr w:type="spellEnd"/>
            <w:r>
              <w:rPr>
                <w:color w:val="000000" w:themeColor="text1"/>
              </w:rPr>
              <w:t xml:space="preserve"> </w:t>
            </w:r>
            <w:r w:rsidRPr="009169C4">
              <w:rPr>
                <w:color w:val="000000" w:themeColor="text1"/>
              </w:rPr>
              <w:t>that it is an e-bike</w:t>
            </w:r>
          </w:p>
          <w:p w:rsidR="002B1C0C" w:rsidRPr="009169C4" w:rsidRDefault="002B1C0C" w:rsidP="004B196C">
            <w:pPr>
              <w:jc w:val="center"/>
            </w:pPr>
            <w:r w:rsidRPr="009169C4">
              <w:rPr>
                <w:color w:val="000000" w:themeColor="text1"/>
              </w:rPr>
              <w:t>([B]/[A+B])</w:t>
            </w:r>
          </w:p>
        </w:tc>
      </w:tr>
      <w:tr w:rsidR="002B1C0C" w:rsidRPr="009169C4" w:rsidTr="004B196C">
        <w:trPr>
          <w:cnfStyle w:val="000000100000" w:firstRow="0" w:lastRow="0" w:firstColumn="0" w:lastColumn="0" w:oddVBand="0" w:evenVBand="0" w:oddHBand="1" w:evenHBand="0" w:firstRowFirstColumn="0" w:firstRowLastColumn="0" w:lastRowFirstColumn="0" w:lastRowLastColumn="0"/>
          <w:trHeight w:hRule="exact" w:val="1134"/>
        </w:trPr>
        <w:tc>
          <w:tcPr>
            <w:cnfStyle w:val="000010000000" w:firstRow="0" w:lastRow="0" w:firstColumn="0" w:lastColumn="0" w:oddVBand="1" w:evenVBand="0" w:oddHBand="0" w:evenHBand="0" w:firstRowFirstColumn="0" w:firstRowLastColumn="0" w:lastRowFirstColumn="0" w:lastRowLastColumn="0"/>
            <w:tcW w:w="1242" w:type="dxa"/>
            <w:shd w:val="clear" w:color="auto" w:fill="FFFFFF" w:themeFill="background1"/>
            <w:noWrap/>
          </w:tcPr>
          <w:p w:rsidR="002B1C0C" w:rsidRPr="009169C4" w:rsidRDefault="002B1C0C" w:rsidP="004B196C">
            <w:pPr>
              <w:jc w:val="center"/>
              <w:rPr>
                <w:b/>
                <w:color w:val="FFFFFF" w:themeColor="background1"/>
              </w:rPr>
            </w:pPr>
            <w:r w:rsidRPr="00241540">
              <w:rPr>
                <w:b/>
                <w:color w:val="000000" w:themeColor="text1"/>
              </w:rPr>
              <w:t>Distance  (miles)</w:t>
            </w:r>
          </w:p>
        </w:tc>
        <w:tc>
          <w:tcPr>
            <w:tcW w:w="1560" w:type="dxa"/>
            <w:shd w:val="clear" w:color="auto" w:fill="FFFFFF" w:themeFill="background1"/>
            <w:noWrap/>
          </w:tcPr>
          <w:p w:rsidR="002B1C0C" w:rsidRPr="009169C4" w:rsidRDefault="002B1C0C" w:rsidP="004B196C">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9169C4">
              <w:rPr>
                <w:b/>
                <w:color w:val="000000" w:themeColor="text1"/>
              </w:rPr>
              <w:t xml:space="preserve">Traditional bike </w:t>
            </w:r>
          </w:p>
          <w:p w:rsidR="002B1C0C" w:rsidRPr="009169C4" w:rsidRDefault="002B1C0C" w:rsidP="004B196C">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9169C4">
              <w:rPr>
                <w:b/>
                <w:color w:val="000000" w:themeColor="text1"/>
              </w:rPr>
              <w:t>[A]</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FFFFFF" w:themeFill="background1"/>
          </w:tcPr>
          <w:p w:rsidR="002B1C0C" w:rsidRPr="009169C4" w:rsidRDefault="002B1C0C" w:rsidP="004B196C">
            <w:pPr>
              <w:jc w:val="center"/>
              <w:rPr>
                <w:b/>
                <w:color w:val="000000" w:themeColor="text1"/>
              </w:rPr>
            </w:pPr>
            <w:r w:rsidRPr="009169C4">
              <w:rPr>
                <w:b/>
                <w:color w:val="000000" w:themeColor="text1"/>
              </w:rPr>
              <w:t>E-bike</w:t>
            </w:r>
          </w:p>
          <w:p w:rsidR="002B1C0C" w:rsidRPr="009169C4" w:rsidRDefault="002B1C0C" w:rsidP="004B196C">
            <w:pPr>
              <w:jc w:val="center"/>
              <w:rPr>
                <w:b/>
                <w:color w:val="000000" w:themeColor="text1"/>
              </w:rPr>
            </w:pPr>
            <w:r w:rsidRPr="009169C4">
              <w:rPr>
                <w:b/>
                <w:color w:val="000000" w:themeColor="text1"/>
              </w:rPr>
              <w:t>[B]</w:t>
            </w:r>
          </w:p>
          <w:p w:rsidR="002B1C0C" w:rsidRPr="009169C4" w:rsidRDefault="002B1C0C" w:rsidP="004B196C">
            <w:pPr>
              <w:jc w:val="center"/>
              <w:rPr>
                <w:b/>
                <w:color w:val="000000" w:themeColor="text1"/>
              </w:rPr>
            </w:pPr>
          </w:p>
        </w:tc>
        <w:tc>
          <w:tcPr>
            <w:tcW w:w="1559" w:type="dxa"/>
            <w:shd w:val="clear" w:color="auto" w:fill="FFFFFF" w:themeFill="background1"/>
          </w:tcPr>
          <w:p w:rsidR="002B1C0C" w:rsidRPr="009169C4" w:rsidRDefault="002B1C0C" w:rsidP="004B196C">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9169C4">
              <w:rPr>
                <w:b/>
                <w:color w:val="000000" w:themeColor="text1"/>
              </w:rPr>
              <w:t>Any type of bike</w:t>
            </w:r>
          </w:p>
          <w:p w:rsidR="002B1C0C" w:rsidRPr="009169C4" w:rsidRDefault="002B1C0C" w:rsidP="004B196C">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9169C4">
              <w:rPr>
                <w:b/>
                <w:color w:val="000000" w:themeColor="text1"/>
              </w:rPr>
              <w:t>[A + B]</w:t>
            </w:r>
          </w:p>
        </w:tc>
        <w:tc>
          <w:tcPr>
            <w:cnfStyle w:val="000010000000" w:firstRow="0" w:lastRow="0" w:firstColumn="0" w:lastColumn="0" w:oddVBand="1" w:evenVBand="0" w:oddHBand="0" w:evenHBand="0" w:firstRowFirstColumn="0" w:firstRowLastColumn="0" w:lastRowFirstColumn="0" w:lastRowLastColumn="0"/>
            <w:tcW w:w="2665" w:type="dxa"/>
            <w:vMerge/>
            <w:shd w:val="clear" w:color="auto" w:fill="FFFFFF" w:themeFill="background1"/>
            <w:noWrap/>
          </w:tcPr>
          <w:p w:rsidR="002B1C0C" w:rsidRPr="009169C4" w:rsidRDefault="002B1C0C" w:rsidP="004B196C">
            <w:pPr>
              <w:jc w:val="center"/>
              <w:rPr>
                <w:b/>
                <w:color w:val="000000" w:themeColor="text1"/>
              </w:rPr>
            </w:pPr>
          </w:p>
        </w:tc>
      </w:tr>
      <w:tr w:rsidR="002B1C0C" w:rsidRPr="009169C4" w:rsidTr="004B196C">
        <w:trPr>
          <w:trHeight w:hRule="exact" w:val="294"/>
        </w:trPr>
        <w:tc>
          <w:tcPr>
            <w:cnfStyle w:val="000010000000" w:firstRow="0" w:lastRow="0" w:firstColumn="0" w:lastColumn="0" w:oddVBand="1" w:evenVBand="0" w:oddHBand="0" w:evenHBand="0" w:firstRowFirstColumn="0" w:firstRowLastColumn="0" w:lastRowFirstColumn="0" w:lastRowLastColumn="0"/>
            <w:tcW w:w="1242" w:type="dxa"/>
            <w:noWrap/>
          </w:tcPr>
          <w:p w:rsidR="002B1C0C" w:rsidRPr="009169C4" w:rsidRDefault="002B1C0C" w:rsidP="004B196C">
            <w:r w:rsidRPr="009169C4">
              <w:t>&lt;0.5</w:t>
            </w:r>
          </w:p>
        </w:tc>
        <w:tc>
          <w:tcPr>
            <w:tcW w:w="1560" w:type="dxa"/>
            <w:noWrap/>
            <w:vAlign w:val="bottom"/>
          </w:tcPr>
          <w:p w:rsidR="002B1C0C" w:rsidRPr="009169C4" w:rsidRDefault="002B1C0C" w:rsidP="004B196C">
            <w:pPr>
              <w:jc w:val="center"/>
              <w:cnfStyle w:val="000000000000" w:firstRow="0" w:lastRow="0" w:firstColumn="0" w:lastColumn="0" w:oddVBand="0" w:evenVBand="0" w:oddHBand="0" w:evenHBand="0" w:firstRowFirstColumn="0" w:firstRowLastColumn="0" w:lastRowFirstColumn="0" w:lastRowLastColumn="0"/>
            </w:pPr>
            <w:r w:rsidRPr="009169C4">
              <w:rPr>
                <w:rFonts w:cs="Calibri"/>
                <w:color w:val="000000"/>
              </w:rPr>
              <w:t>4.7%</w:t>
            </w:r>
          </w:p>
        </w:tc>
        <w:tc>
          <w:tcPr>
            <w:cnfStyle w:val="000010000000" w:firstRow="0" w:lastRow="0" w:firstColumn="0" w:lastColumn="0" w:oddVBand="1" w:evenVBand="0" w:oddHBand="0" w:evenHBand="0" w:firstRowFirstColumn="0" w:firstRowLastColumn="0" w:lastRowFirstColumn="0" w:lastRowLastColumn="0"/>
            <w:tcW w:w="1417" w:type="dxa"/>
            <w:vAlign w:val="bottom"/>
          </w:tcPr>
          <w:p w:rsidR="002B1C0C" w:rsidRPr="009169C4" w:rsidRDefault="002B1C0C" w:rsidP="004B196C">
            <w:pPr>
              <w:jc w:val="center"/>
              <w:rPr>
                <w:rFonts w:cs="Calibri"/>
                <w:color w:val="000000"/>
              </w:rPr>
            </w:pPr>
            <w:r w:rsidRPr="009169C4">
              <w:rPr>
                <w:rFonts w:cs="Calibri"/>
                <w:color w:val="000000"/>
              </w:rPr>
              <w:t>5.8%</w:t>
            </w:r>
          </w:p>
        </w:tc>
        <w:tc>
          <w:tcPr>
            <w:tcW w:w="1559" w:type="dxa"/>
            <w:vAlign w:val="center"/>
          </w:tcPr>
          <w:p w:rsidR="002B1C0C" w:rsidRPr="009169C4" w:rsidRDefault="002B1C0C" w:rsidP="004B196C">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9169C4">
              <w:rPr>
                <w:rFonts w:cs="Calibri"/>
                <w:color w:val="000000"/>
              </w:rPr>
              <w:t>10.5% †</w:t>
            </w:r>
          </w:p>
        </w:tc>
        <w:tc>
          <w:tcPr>
            <w:cnfStyle w:val="000010000000" w:firstRow="0" w:lastRow="0" w:firstColumn="0" w:lastColumn="0" w:oddVBand="1" w:evenVBand="0" w:oddHBand="0" w:evenHBand="0" w:firstRowFirstColumn="0" w:firstRowLastColumn="0" w:lastRowFirstColumn="0" w:lastRowLastColumn="0"/>
            <w:tcW w:w="2665" w:type="dxa"/>
            <w:noWrap/>
            <w:vAlign w:val="center"/>
          </w:tcPr>
          <w:p w:rsidR="002B1C0C" w:rsidRPr="005C1D08" w:rsidRDefault="002B1C0C" w:rsidP="004B196C">
            <w:pPr>
              <w:jc w:val="center"/>
            </w:pPr>
            <w:r w:rsidRPr="005C1D08">
              <w:rPr>
                <w:rFonts w:cs="Calibri"/>
                <w:color w:val="000000"/>
              </w:rPr>
              <w:t>55%</w:t>
            </w:r>
          </w:p>
        </w:tc>
      </w:tr>
      <w:tr w:rsidR="002B1C0C" w:rsidRPr="009169C4" w:rsidTr="004B196C">
        <w:trPr>
          <w:cnfStyle w:val="000000100000" w:firstRow="0" w:lastRow="0" w:firstColumn="0" w:lastColumn="0" w:oddVBand="0" w:evenVBand="0" w:oddHBand="1" w:evenHBand="0" w:firstRowFirstColumn="0" w:firstRowLastColumn="0" w:lastRowFirstColumn="0" w:lastRowLastColumn="0"/>
          <w:trHeight w:hRule="exact" w:val="294"/>
        </w:trPr>
        <w:tc>
          <w:tcPr>
            <w:cnfStyle w:val="000010000000" w:firstRow="0" w:lastRow="0" w:firstColumn="0" w:lastColumn="0" w:oddVBand="1" w:evenVBand="0" w:oddHBand="0" w:evenHBand="0" w:firstRowFirstColumn="0" w:firstRowLastColumn="0" w:lastRowFirstColumn="0" w:lastRowLastColumn="0"/>
            <w:tcW w:w="1242" w:type="dxa"/>
            <w:noWrap/>
          </w:tcPr>
          <w:p w:rsidR="002B1C0C" w:rsidRPr="009169C4" w:rsidRDefault="002B1C0C" w:rsidP="004B196C">
            <w:r w:rsidRPr="009169C4">
              <w:t>0.5 to &lt;1.5</w:t>
            </w:r>
          </w:p>
        </w:tc>
        <w:tc>
          <w:tcPr>
            <w:tcW w:w="1560" w:type="dxa"/>
            <w:noWrap/>
            <w:vAlign w:val="bottom"/>
          </w:tcPr>
          <w:p w:rsidR="002B1C0C" w:rsidRPr="009169C4" w:rsidRDefault="002B1C0C" w:rsidP="004B196C">
            <w:pPr>
              <w:jc w:val="center"/>
              <w:cnfStyle w:val="000000100000" w:firstRow="0" w:lastRow="0" w:firstColumn="0" w:lastColumn="0" w:oddVBand="0" w:evenVBand="0" w:oddHBand="1" w:evenHBand="0" w:firstRowFirstColumn="0" w:firstRowLastColumn="0" w:lastRowFirstColumn="0" w:lastRowLastColumn="0"/>
            </w:pPr>
            <w:r w:rsidRPr="009169C4">
              <w:rPr>
                <w:rFonts w:cs="Calibri"/>
                <w:color w:val="000000"/>
              </w:rPr>
              <w:t>9.3%</w:t>
            </w:r>
          </w:p>
        </w:tc>
        <w:tc>
          <w:tcPr>
            <w:cnfStyle w:val="000010000000" w:firstRow="0" w:lastRow="0" w:firstColumn="0" w:lastColumn="0" w:oddVBand="1" w:evenVBand="0" w:oddHBand="0" w:evenHBand="0" w:firstRowFirstColumn="0" w:firstRowLastColumn="0" w:lastRowFirstColumn="0" w:lastRowLastColumn="0"/>
            <w:tcW w:w="1417" w:type="dxa"/>
            <w:vAlign w:val="bottom"/>
          </w:tcPr>
          <w:p w:rsidR="002B1C0C" w:rsidRPr="009169C4" w:rsidRDefault="002B1C0C" w:rsidP="004B196C">
            <w:pPr>
              <w:jc w:val="center"/>
              <w:rPr>
                <w:rFonts w:cs="Calibri"/>
                <w:color w:val="000000"/>
              </w:rPr>
            </w:pPr>
            <w:r w:rsidRPr="009169C4">
              <w:rPr>
                <w:rFonts w:cs="Calibri"/>
                <w:color w:val="000000"/>
              </w:rPr>
              <w:t>19.8%</w:t>
            </w:r>
          </w:p>
        </w:tc>
        <w:tc>
          <w:tcPr>
            <w:tcW w:w="1559" w:type="dxa"/>
            <w:vAlign w:val="center"/>
          </w:tcPr>
          <w:p w:rsidR="002B1C0C" w:rsidRPr="009169C4" w:rsidRDefault="002B1C0C" w:rsidP="004B196C">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9169C4">
              <w:rPr>
                <w:rFonts w:cs="Calibri"/>
                <w:color w:val="000000"/>
              </w:rPr>
              <w:t>29.1% †</w:t>
            </w:r>
          </w:p>
        </w:tc>
        <w:tc>
          <w:tcPr>
            <w:cnfStyle w:val="000010000000" w:firstRow="0" w:lastRow="0" w:firstColumn="0" w:lastColumn="0" w:oddVBand="1" w:evenVBand="0" w:oddHBand="0" w:evenHBand="0" w:firstRowFirstColumn="0" w:firstRowLastColumn="0" w:lastRowFirstColumn="0" w:lastRowLastColumn="0"/>
            <w:tcW w:w="2665" w:type="dxa"/>
            <w:noWrap/>
            <w:vAlign w:val="center"/>
          </w:tcPr>
          <w:p w:rsidR="002B1C0C" w:rsidRPr="005C1D08" w:rsidRDefault="002B1C0C" w:rsidP="004B196C">
            <w:pPr>
              <w:jc w:val="center"/>
            </w:pPr>
            <w:r w:rsidRPr="005C1D08">
              <w:rPr>
                <w:rFonts w:cs="Calibri"/>
                <w:color w:val="000000"/>
              </w:rPr>
              <w:t>68%</w:t>
            </w:r>
          </w:p>
        </w:tc>
      </w:tr>
      <w:tr w:rsidR="002B1C0C" w:rsidRPr="009169C4" w:rsidTr="004B196C">
        <w:trPr>
          <w:trHeight w:hRule="exact" w:val="294"/>
        </w:trPr>
        <w:tc>
          <w:tcPr>
            <w:cnfStyle w:val="000010000000" w:firstRow="0" w:lastRow="0" w:firstColumn="0" w:lastColumn="0" w:oddVBand="1" w:evenVBand="0" w:oddHBand="0" w:evenHBand="0" w:firstRowFirstColumn="0" w:firstRowLastColumn="0" w:lastRowFirstColumn="0" w:lastRowLastColumn="0"/>
            <w:tcW w:w="1242" w:type="dxa"/>
            <w:noWrap/>
          </w:tcPr>
          <w:p w:rsidR="002B1C0C" w:rsidRPr="009169C4" w:rsidRDefault="002B1C0C" w:rsidP="004B196C">
            <w:r w:rsidRPr="009169C4">
              <w:t>1.5 to &lt;2.5</w:t>
            </w:r>
          </w:p>
        </w:tc>
        <w:tc>
          <w:tcPr>
            <w:tcW w:w="1560" w:type="dxa"/>
            <w:noWrap/>
            <w:vAlign w:val="bottom"/>
          </w:tcPr>
          <w:p w:rsidR="002B1C0C" w:rsidRPr="009169C4" w:rsidRDefault="002B1C0C" w:rsidP="004B196C">
            <w:pPr>
              <w:jc w:val="center"/>
              <w:cnfStyle w:val="000000000000" w:firstRow="0" w:lastRow="0" w:firstColumn="0" w:lastColumn="0" w:oddVBand="0" w:evenVBand="0" w:oddHBand="0" w:evenHBand="0" w:firstRowFirstColumn="0" w:firstRowLastColumn="0" w:lastRowFirstColumn="0" w:lastRowLastColumn="0"/>
            </w:pPr>
            <w:r w:rsidRPr="009169C4">
              <w:rPr>
                <w:rFonts w:cs="Calibri"/>
                <w:color w:val="000000"/>
              </w:rPr>
              <w:t>9.4%</w:t>
            </w:r>
          </w:p>
        </w:tc>
        <w:tc>
          <w:tcPr>
            <w:cnfStyle w:val="000010000000" w:firstRow="0" w:lastRow="0" w:firstColumn="0" w:lastColumn="0" w:oddVBand="1" w:evenVBand="0" w:oddHBand="0" w:evenHBand="0" w:firstRowFirstColumn="0" w:firstRowLastColumn="0" w:lastRowFirstColumn="0" w:lastRowLastColumn="0"/>
            <w:tcW w:w="1417" w:type="dxa"/>
            <w:vAlign w:val="bottom"/>
          </w:tcPr>
          <w:p w:rsidR="002B1C0C" w:rsidRPr="009169C4" w:rsidRDefault="002B1C0C" w:rsidP="004B196C">
            <w:pPr>
              <w:jc w:val="center"/>
              <w:rPr>
                <w:rFonts w:cs="Calibri"/>
                <w:color w:val="000000"/>
              </w:rPr>
            </w:pPr>
            <w:r w:rsidRPr="009169C4">
              <w:rPr>
                <w:rFonts w:cs="Calibri"/>
                <w:color w:val="000000"/>
              </w:rPr>
              <w:t>28.3%</w:t>
            </w:r>
          </w:p>
        </w:tc>
        <w:tc>
          <w:tcPr>
            <w:tcW w:w="1559" w:type="dxa"/>
            <w:vAlign w:val="center"/>
          </w:tcPr>
          <w:p w:rsidR="002B1C0C" w:rsidRPr="009169C4" w:rsidRDefault="002B1C0C" w:rsidP="004B196C">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9169C4">
              <w:rPr>
                <w:rFonts w:cs="Calibri"/>
                <w:color w:val="000000"/>
              </w:rPr>
              <w:t>37.7% †</w:t>
            </w:r>
          </w:p>
        </w:tc>
        <w:tc>
          <w:tcPr>
            <w:cnfStyle w:val="000010000000" w:firstRow="0" w:lastRow="0" w:firstColumn="0" w:lastColumn="0" w:oddVBand="1" w:evenVBand="0" w:oddHBand="0" w:evenHBand="0" w:firstRowFirstColumn="0" w:firstRowLastColumn="0" w:lastRowFirstColumn="0" w:lastRowLastColumn="0"/>
            <w:tcW w:w="2665" w:type="dxa"/>
            <w:noWrap/>
            <w:vAlign w:val="center"/>
          </w:tcPr>
          <w:p w:rsidR="002B1C0C" w:rsidRPr="005C1D08" w:rsidRDefault="002B1C0C" w:rsidP="004B196C">
            <w:pPr>
              <w:jc w:val="center"/>
            </w:pPr>
            <w:r w:rsidRPr="005C1D08">
              <w:rPr>
                <w:rFonts w:cs="Calibri"/>
                <w:color w:val="000000"/>
              </w:rPr>
              <w:t>75%</w:t>
            </w:r>
          </w:p>
        </w:tc>
      </w:tr>
      <w:tr w:rsidR="002B1C0C" w:rsidRPr="009169C4" w:rsidTr="004B196C">
        <w:trPr>
          <w:cnfStyle w:val="000000100000" w:firstRow="0" w:lastRow="0" w:firstColumn="0" w:lastColumn="0" w:oddVBand="0" w:evenVBand="0" w:oddHBand="1" w:evenHBand="0" w:firstRowFirstColumn="0" w:firstRowLastColumn="0" w:lastRowFirstColumn="0" w:lastRowLastColumn="0"/>
          <w:trHeight w:hRule="exact" w:val="294"/>
        </w:trPr>
        <w:tc>
          <w:tcPr>
            <w:cnfStyle w:val="000010000000" w:firstRow="0" w:lastRow="0" w:firstColumn="0" w:lastColumn="0" w:oddVBand="1" w:evenVBand="0" w:oddHBand="0" w:evenHBand="0" w:firstRowFirstColumn="0" w:firstRowLastColumn="0" w:lastRowFirstColumn="0" w:lastRowLastColumn="0"/>
            <w:tcW w:w="1242" w:type="dxa"/>
            <w:noWrap/>
          </w:tcPr>
          <w:p w:rsidR="002B1C0C" w:rsidRPr="009169C4" w:rsidRDefault="002B1C0C" w:rsidP="004B196C">
            <w:r w:rsidRPr="009169C4">
              <w:t>2.5 to &lt;3.5</w:t>
            </w:r>
          </w:p>
        </w:tc>
        <w:tc>
          <w:tcPr>
            <w:tcW w:w="1560" w:type="dxa"/>
            <w:noWrap/>
            <w:vAlign w:val="bottom"/>
          </w:tcPr>
          <w:p w:rsidR="002B1C0C" w:rsidRPr="009169C4" w:rsidRDefault="002B1C0C" w:rsidP="004B196C">
            <w:pPr>
              <w:jc w:val="center"/>
              <w:cnfStyle w:val="000000100000" w:firstRow="0" w:lastRow="0" w:firstColumn="0" w:lastColumn="0" w:oddVBand="0" w:evenVBand="0" w:oddHBand="1" w:evenHBand="0" w:firstRowFirstColumn="0" w:firstRowLastColumn="0" w:lastRowFirstColumn="0" w:lastRowLastColumn="0"/>
            </w:pPr>
            <w:r w:rsidRPr="009169C4">
              <w:rPr>
                <w:rFonts w:cs="Calibri"/>
                <w:color w:val="000000"/>
              </w:rPr>
              <w:t>7.0%</w:t>
            </w:r>
          </w:p>
        </w:tc>
        <w:tc>
          <w:tcPr>
            <w:cnfStyle w:val="000010000000" w:firstRow="0" w:lastRow="0" w:firstColumn="0" w:lastColumn="0" w:oddVBand="1" w:evenVBand="0" w:oddHBand="0" w:evenHBand="0" w:firstRowFirstColumn="0" w:firstRowLastColumn="0" w:lastRowFirstColumn="0" w:lastRowLastColumn="0"/>
            <w:tcW w:w="1417" w:type="dxa"/>
            <w:vAlign w:val="bottom"/>
          </w:tcPr>
          <w:p w:rsidR="002B1C0C" w:rsidRPr="009169C4" w:rsidRDefault="002B1C0C" w:rsidP="004B196C">
            <w:pPr>
              <w:jc w:val="center"/>
              <w:rPr>
                <w:rFonts w:cs="Calibri"/>
                <w:color w:val="000000"/>
              </w:rPr>
            </w:pPr>
            <w:r w:rsidRPr="009169C4">
              <w:rPr>
                <w:rFonts w:cs="Calibri"/>
                <w:color w:val="000000"/>
              </w:rPr>
              <w:t>29.6%</w:t>
            </w:r>
          </w:p>
        </w:tc>
        <w:tc>
          <w:tcPr>
            <w:tcW w:w="1559" w:type="dxa"/>
            <w:vAlign w:val="center"/>
          </w:tcPr>
          <w:p w:rsidR="002B1C0C" w:rsidRPr="009169C4" w:rsidRDefault="002B1C0C" w:rsidP="004B196C">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9169C4">
              <w:rPr>
                <w:rFonts w:cs="Calibri"/>
                <w:color w:val="000000"/>
              </w:rPr>
              <w:t>36.6% †</w:t>
            </w:r>
          </w:p>
        </w:tc>
        <w:tc>
          <w:tcPr>
            <w:cnfStyle w:val="000010000000" w:firstRow="0" w:lastRow="0" w:firstColumn="0" w:lastColumn="0" w:oddVBand="1" w:evenVBand="0" w:oddHBand="0" w:evenHBand="0" w:firstRowFirstColumn="0" w:firstRowLastColumn="0" w:lastRowFirstColumn="0" w:lastRowLastColumn="0"/>
            <w:tcW w:w="2665" w:type="dxa"/>
            <w:noWrap/>
            <w:vAlign w:val="center"/>
          </w:tcPr>
          <w:p w:rsidR="002B1C0C" w:rsidRPr="005C1D08" w:rsidRDefault="002B1C0C" w:rsidP="004B196C">
            <w:pPr>
              <w:jc w:val="center"/>
            </w:pPr>
            <w:r w:rsidRPr="005C1D08">
              <w:rPr>
                <w:rFonts w:cs="Calibri"/>
                <w:color w:val="000000"/>
              </w:rPr>
              <w:t>81%</w:t>
            </w:r>
          </w:p>
        </w:tc>
      </w:tr>
      <w:tr w:rsidR="002B1C0C" w:rsidTr="004B196C">
        <w:trPr>
          <w:trHeight w:hRule="exact" w:val="294"/>
        </w:trPr>
        <w:tc>
          <w:tcPr>
            <w:cnfStyle w:val="000010000000" w:firstRow="0" w:lastRow="0" w:firstColumn="0" w:lastColumn="0" w:oddVBand="1" w:evenVBand="0" w:oddHBand="0" w:evenHBand="0" w:firstRowFirstColumn="0" w:firstRowLastColumn="0" w:lastRowFirstColumn="0" w:lastRowLastColumn="0"/>
            <w:tcW w:w="1242" w:type="dxa"/>
            <w:noWrap/>
          </w:tcPr>
          <w:p w:rsidR="002B1C0C" w:rsidRPr="009169C4" w:rsidRDefault="002B1C0C" w:rsidP="004B196C">
            <w:r w:rsidRPr="009169C4">
              <w:t>3.5 to &lt;4.5</w:t>
            </w:r>
          </w:p>
        </w:tc>
        <w:tc>
          <w:tcPr>
            <w:tcW w:w="1560" w:type="dxa"/>
            <w:noWrap/>
            <w:vAlign w:val="bottom"/>
          </w:tcPr>
          <w:p w:rsidR="002B1C0C" w:rsidRPr="009169C4" w:rsidRDefault="002B1C0C" w:rsidP="004B196C">
            <w:pPr>
              <w:jc w:val="center"/>
              <w:cnfStyle w:val="000000000000" w:firstRow="0" w:lastRow="0" w:firstColumn="0" w:lastColumn="0" w:oddVBand="0" w:evenVBand="0" w:oddHBand="0" w:evenHBand="0" w:firstRowFirstColumn="0" w:firstRowLastColumn="0" w:lastRowFirstColumn="0" w:lastRowLastColumn="0"/>
            </w:pPr>
            <w:r w:rsidRPr="009169C4">
              <w:rPr>
                <w:rFonts w:cs="Calibri"/>
                <w:color w:val="000000"/>
              </w:rPr>
              <w:t>3.1%</w:t>
            </w:r>
          </w:p>
        </w:tc>
        <w:tc>
          <w:tcPr>
            <w:cnfStyle w:val="000010000000" w:firstRow="0" w:lastRow="0" w:firstColumn="0" w:lastColumn="0" w:oddVBand="1" w:evenVBand="0" w:oddHBand="0" w:evenHBand="0" w:firstRowFirstColumn="0" w:firstRowLastColumn="0" w:lastRowFirstColumn="0" w:lastRowLastColumn="0"/>
            <w:tcW w:w="1417" w:type="dxa"/>
            <w:vAlign w:val="bottom"/>
          </w:tcPr>
          <w:p w:rsidR="002B1C0C" w:rsidRPr="009169C4" w:rsidRDefault="002B1C0C" w:rsidP="004B196C">
            <w:pPr>
              <w:jc w:val="center"/>
              <w:rPr>
                <w:rFonts w:cs="Calibri"/>
                <w:color w:val="000000"/>
              </w:rPr>
            </w:pPr>
            <w:r w:rsidRPr="009169C4">
              <w:rPr>
                <w:rFonts w:cs="Calibri"/>
                <w:color w:val="000000"/>
              </w:rPr>
              <w:t>25.7%</w:t>
            </w:r>
          </w:p>
        </w:tc>
        <w:tc>
          <w:tcPr>
            <w:tcW w:w="1559" w:type="dxa"/>
            <w:vAlign w:val="center"/>
          </w:tcPr>
          <w:p w:rsidR="002B1C0C" w:rsidRPr="009169C4" w:rsidRDefault="002B1C0C" w:rsidP="004B196C">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9169C4">
              <w:rPr>
                <w:rFonts w:cs="Calibri"/>
                <w:color w:val="000000"/>
              </w:rPr>
              <w:t>28.8%</w:t>
            </w:r>
          </w:p>
        </w:tc>
        <w:tc>
          <w:tcPr>
            <w:cnfStyle w:val="000010000000" w:firstRow="0" w:lastRow="0" w:firstColumn="0" w:lastColumn="0" w:oddVBand="1" w:evenVBand="0" w:oddHBand="0" w:evenHBand="0" w:firstRowFirstColumn="0" w:firstRowLastColumn="0" w:lastRowFirstColumn="0" w:lastRowLastColumn="0"/>
            <w:tcW w:w="2665" w:type="dxa"/>
            <w:noWrap/>
            <w:vAlign w:val="center"/>
          </w:tcPr>
          <w:p w:rsidR="002B1C0C" w:rsidRPr="00816A09" w:rsidRDefault="002B1C0C" w:rsidP="004B196C">
            <w:pPr>
              <w:jc w:val="center"/>
            </w:pPr>
            <w:r w:rsidRPr="009169C4">
              <w:rPr>
                <w:rFonts w:cs="Calibri"/>
                <w:color w:val="000000"/>
              </w:rPr>
              <w:t>89%</w:t>
            </w:r>
          </w:p>
        </w:tc>
      </w:tr>
      <w:tr w:rsidR="002B1C0C" w:rsidTr="004B196C">
        <w:trPr>
          <w:cnfStyle w:val="000000100000" w:firstRow="0" w:lastRow="0" w:firstColumn="0" w:lastColumn="0" w:oddVBand="0" w:evenVBand="0" w:oddHBand="1" w:evenHBand="0" w:firstRowFirstColumn="0" w:firstRowLastColumn="0" w:lastRowFirstColumn="0" w:lastRowLastColumn="0"/>
          <w:trHeight w:hRule="exact" w:val="294"/>
        </w:trPr>
        <w:tc>
          <w:tcPr>
            <w:cnfStyle w:val="000010000000" w:firstRow="0" w:lastRow="0" w:firstColumn="0" w:lastColumn="0" w:oddVBand="1" w:evenVBand="0" w:oddHBand="0" w:evenHBand="0" w:firstRowFirstColumn="0" w:firstRowLastColumn="0" w:lastRowFirstColumn="0" w:lastRowLastColumn="0"/>
            <w:tcW w:w="1242" w:type="dxa"/>
            <w:noWrap/>
          </w:tcPr>
          <w:p w:rsidR="002B1C0C" w:rsidRDefault="002B1C0C" w:rsidP="004B196C">
            <w:r>
              <w:t>4.5 to &lt;5.5</w:t>
            </w:r>
          </w:p>
        </w:tc>
        <w:tc>
          <w:tcPr>
            <w:tcW w:w="1560" w:type="dxa"/>
            <w:noWrap/>
            <w:vAlign w:val="bottom"/>
          </w:tcPr>
          <w:p w:rsidR="002B1C0C" w:rsidRPr="00816A09" w:rsidRDefault="002B1C0C" w:rsidP="004B196C">
            <w:pPr>
              <w:jc w:val="center"/>
              <w:cnfStyle w:val="000000100000" w:firstRow="0" w:lastRow="0" w:firstColumn="0" w:lastColumn="0" w:oddVBand="0" w:evenVBand="0" w:oddHBand="1" w:evenHBand="0" w:firstRowFirstColumn="0" w:firstRowLastColumn="0" w:lastRowFirstColumn="0" w:lastRowLastColumn="0"/>
            </w:pPr>
            <w:r>
              <w:rPr>
                <w:rFonts w:cs="Calibri"/>
                <w:color w:val="000000"/>
              </w:rPr>
              <w:t>3.1%</w:t>
            </w:r>
          </w:p>
        </w:tc>
        <w:tc>
          <w:tcPr>
            <w:cnfStyle w:val="000010000000" w:firstRow="0" w:lastRow="0" w:firstColumn="0" w:lastColumn="0" w:oddVBand="1" w:evenVBand="0" w:oddHBand="0" w:evenHBand="0" w:firstRowFirstColumn="0" w:firstRowLastColumn="0" w:lastRowFirstColumn="0" w:lastRowLastColumn="0"/>
            <w:tcW w:w="1417" w:type="dxa"/>
            <w:vAlign w:val="bottom"/>
          </w:tcPr>
          <w:p w:rsidR="002B1C0C" w:rsidRDefault="002B1C0C" w:rsidP="004B196C">
            <w:pPr>
              <w:jc w:val="center"/>
              <w:rPr>
                <w:rFonts w:cs="Calibri"/>
                <w:color w:val="000000"/>
              </w:rPr>
            </w:pPr>
            <w:r>
              <w:rPr>
                <w:rFonts w:cs="Calibri"/>
                <w:color w:val="000000"/>
              </w:rPr>
              <w:t>25.7%</w:t>
            </w:r>
          </w:p>
        </w:tc>
        <w:tc>
          <w:tcPr>
            <w:tcW w:w="1559" w:type="dxa"/>
            <w:vAlign w:val="center"/>
          </w:tcPr>
          <w:p w:rsidR="002B1C0C" w:rsidRDefault="002B1C0C" w:rsidP="004B196C">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28.8%</w:t>
            </w:r>
          </w:p>
        </w:tc>
        <w:tc>
          <w:tcPr>
            <w:cnfStyle w:val="000010000000" w:firstRow="0" w:lastRow="0" w:firstColumn="0" w:lastColumn="0" w:oddVBand="1" w:evenVBand="0" w:oddHBand="0" w:evenHBand="0" w:firstRowFirstColumn="0" w:firstRowLastColumn="0" w:lastRowFirstColumn="0" w:lastRowLastColumn="0"/>
            <w:tcW w:w="2665" w:type="dxa"/>
            <w:noWrap/>
            <w:vAlign w:val="center"/>
          </w:tcPr>
          <w:p w:rsidR="002B1C0C" w:rsidRPr="00816A09" w:rsidRDefault="002B1C0C" w:rsidP="004B196C">
            <w:pPr>
              <w:jc w:val="center"/>
            </w:pPr>
            <w:r>
              <w:rPr>
                <w:rFonts w:cs="Calibri"/>
                <w:color w:val="000000"/>
              </w:rPr>
              <w:t>89%</w:t>
            </w:r>
          </w:p>
        </w:tc>
      </w:tr>
      <w:tr w:rsidR="002B1C0C" w:rsidTr="004B196C">
        <w:trPr>
          <w:trHeight w:hRule="exact" w:val="294"/>
        </w:trPr>
        <w:tc>
          <w:tcPr>
            <w:cnfStyle w:val="000010000000" w:firstRow="0" w:lastRow="0" w:firstColumn="0" w:lastColumn="0" w:oddVBand="1" w:evenVBand="0" w:oddHBand="0" w:evenHBand="0" w:firstRowFirstColumn="0" w:firstRowLastColumn="0" w:lastRowFirstColumn="0" w:lastRowLastColumn="0"/>
            <w:tcW w:w="1242" w:type="dxa"/>
            <w:noWrap/>
          </w:tcPr>
          <w:p w:rsidR="002B1C0C" w:rsidRDefault="002B1C0C" w:rsidP="004B196C">
            <w:r>
              <w:t>5.5 to &lt;6.5</w:t>
            </w:r>
          </w:p>
        </w:tc>
        <w:tc>
          <w:tcPr>
            <w:tcW w:w="1560" w:type="dxa"/>
            <w:noWrap/>
            <w:vAlign w:val="bottom"/>
          </w:tcPr>
          <w:p w:rsidR="002B1C0C" w:rsidRPr="00816A09" w:rsidRDefault="002B1C0C" w:rsidP="004B196C">
            <w:pPr>
              <w:jc w:val="center"/>
              <w:cnfStyle w:val="000000000000" w:firstRow="0" w:lastRow="0" w:firstColumn="0" w:lastColumn="0" w:oddVBand="0" w:evenVBand="0" w:oddHBand="0" w:evenHBand="0" w:firstRowFirstColumn="0" w:firstRowLastColumn="0" w:lastRowFirstColumn="0" w:lastRowLastColumn="0"/>
            </w:pPr>
            <w:r>
              <w:rPr>
                <w:rFonts w:cs="Calibri"/>
                <w:color w:val="000000"/>
              </w:rPr>
              <w:t>2.4%</w:t>
            </w:r>
          </w:p>
        </w:tc>
        <w:tc>
          <w:tcPr>
            <w:cnfStyle w:val="000010000000" w:firstRow="0" w:lastRow="0" w:firstColumn="0" w:lastColumn="0" w:oddVBand="1" w:evenVBand="0" w:oddHBand="0" w:evenHBand="0" w:firstRowFirstColumn="0" w:firstRowLastColumn="0" w:lastRowFirstColumn="0" w:lastRowLastColumn="0"/>
            <w:tcW w:w="1417" w:type="dxa"/>
            <w:vAlign w:val="bottom"/>
          </w:tcPr>
          <w:p w:rsidR="002B1C0C" w:rsidRDefault="002B1C0C" w:rsidP="004B196C">
            <w:pPr>
              <w:jc w:val="center"/>
              <w:rPr>
                <w:rFonts w:cs="Calibri"/>
                <w:color w:val="000000"/>
              </w:rPr>
            </w:pPr>
            <w:r>
              <w:rPr>
                <w:rFonts w:cs="Calibri"/>
                <w:color w:val="000000"/>
              </w:rPr>
              <w:t>22.7%</w:t>
            </w:r>
          </w:p>
        </w:tc>
        <w:tc>
          <w:tcPr>
            <w:tcW w:w="1559" w:type="dxa"/>
            <w:vAlign w:val="center"/>
          </w:tcPr>
          <w:p w:rsidR="002B1C0C" w:rsidRDefault="002B1C0C" w:rsidP="004B196C">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25.1%</w:t>
            </w:r>
          </w:p>
        </w:tc>
        <w:tc>
          <w:tcPr>
            <w:cnfStyle w:val="000010000000" w:firstRow="0" w:lastRow="0" w:firstColumn="0" w:lastColumn="0" w:oddVBand="1" w:evenVBand="0" w:oddHBand="0" w:evenHBand="0" w:firstRowFirstColumn="0" w:firstRowLastColumn="0" w:lastRowFirstColumn="0" w:lastRowLastColumn="0"/>
            <w:tcW w:w="2665" w:type="dxa"/>
            <w:noWrap/>
            <w:vAlign w:val="center"/>
          </w:tcPr>
          <w:p w:rsidR="002B1C0C" w:rsidRPr="00816A09" w:rsidRDefault="002B1C0C" w:rsidP="004B196C">
            <w:pPr>
              <w:jc w:val="center"/>
            </w:pPr>
            <w:r>
              <w:rPr>
                <w:rFonts w:cs="Calibri"/>
                <w:color w:val="000000"/>
              </w:rPr>
              <w:t>90%</w:t>
            </w:r>
          </w:p>
        </w:tc>
      </w:tr>
      <w:tr w:rsidR="002B1C0C" w:rsidTr="004B196C">
        <w:trPr>
          <w:cnfStyle w:val="000000100000" w:firstRow="0" w:lastRow="0" w:firstColumn="0" w:lastColumn="0" w:oddVBand="0" w:evenVBand="0" w:oddHBand="1" w:evenHBand="0" w:firstRowFirstColumn="0" w:firstRowLastColumn="0" w:lastRowFirstColumn="0" w:lastRowLastColumn="0"/>
          <w:trHeight w:hRule="exact" w:val="294"/>
        </w:trPr>
        <w:tc>
          <w:tcPr>
            <w:cnfStyle w:val="000010000000" w:firstRow="0" w:lastRow="0" w:firstColumn="0" w:lastColumn="0" w:oddVBand="1" w:evenVBand="0" w:oddHBand="0" w:evenHBand="0" w:firstRowFirstColumn="0" w:firstRowLastColumn="0" w:lastRowFirstColumn="0" w:lastRowLastColumn="0"/>
            <w:tcW w:w="1242" w:type="dxa"/>
            <w:noWrap/>
          </w:tcPr>
          <w:p w:rsidR="002B1C0C" w:rsidRDefault="002B1C0C" w:rsidP="004B196C">
            <w:r>
              <w:t>6.5 to &lt;9.5</w:t>
            </w:r>
          </w:p>
        </w:tc>
        <w:tc>
          <w:tcPr>
            <w:tcW w:w="1560" w:type="dxa"/>
            <w:noWrap/>
            <w:vAlign w:val="bottom"/>
          </w:tcPr>
          <w:p w:rsidR="002B1C0C" w:rsidRPr="00816A09" w:rsidRDefault="002B1C0C" w:rsidP="004B196C">
            <w:pPr>
              <w:jc w:val="center"/>
              <w:cnfStyle w:val="000000100000" w:firstRow="0" w:lastRow="0" w:firstColumn="0" w:lastColumn="0" w:oddVBand="0" w:evenVBand="0" w:oddHBand="1" w:evenHBand="0" w:firstRowFirstColumn="0" w:firstRowLastColumn="0" w:lastRowFirstColumn="0" w:lastRowLastColumn="0"/>
            </w:pPr>
            <w:r>
              <w:rPr>
                <w:rFonts w:cs="Calibri"/>
                <w:color w:val="000000"/>
              </w:rPr>
              <w:t>1.6%</w:t>
            </w:r>
          </w:p>
        </w:tc>
        <w:tc>
          <w:tcPr>
            <w:cnfStyle w:val="000010000000" w:firstRow="0" w:lastRow="0" w:firstColumn="0" w:lastColumn="0" w:oddVBand="1" w:evenVBand="0" w:oddHBand="0" w:evenHBand="0" w:firstRowFirstColumn="0" w:firstRowLastColumn="0" w:lastRowFirstColumn="0" w:lastRowLastColumn="0"/>
            <w:tcW w:w="1417" w:type="dxa"/>
            <w:vAlign w:val="bottom"/>
          </w:tcPr>
          <w:p w:rsidR="002B1C0C" w:rsidRDefault="002B1C0C" w:rsidP="004B196C">
            <w:pPr>
              <w:jc w:val="center"/>
              <w:rPr>
                <w:rFonts w:cs="Calibri"/>
                <w:color w:val="000000"/>
              </w:rPr>
            </w:pPr>
            <w:r>
              <w:rPr>
                <w:rFonts w:cs="Calibri"/>
                <w:color w:val="000000"/>
              </w:rPr>
              <w:t>20.0%</w:t>
            </w:r>
          </w:p>
        </w:tc>
        <w:tc>
          <w:tcPr>
            <w:tcW w:w="1559" w:type="dxa"/>
            <w:vAlign w:val="center"/>
          </w:tcPr>
          <w:p w:rsidR="002B1C0C" w:rsidRDefault="002B1C0C" w:rsidP="004B196C">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21.5%</w:t>
            </w:r>
          </w:p>
        </w:tc>
        <w:tc>
          <w:tcPr>
            <w:cnfStyle w:val="000010000000" w:firstRow="0" w:lastRow="0" w:firstColumn="0" w:lastColumn="0" w:oddVBand="1" w:evenVBand="0" w:oddHBand="0" w:evenHBand="0" w:firstRowFirstColumn="0" w:firstRowLastColumn="0" w:lastRowFirstColumn="0" w:lastRowLastColumn="0"/>
            <w:tcW w:w="2665" w:type="dxa"/>
            <w:noWrap/>
            <w:vAlign w:val="center"/>
          </w:tcPr>
          <w:p w:rsidR="002B1C0C" w:rsidRPr="00816A09" w:rsidRDefault="002B1C0C" w:rsidP="004B196C">
            <w:pPr>
              <w:jc w:val="center"/>
            </w:pPr>
            <w:r>
              <w:rPr>
                <w:rFonts w:cs="Calibri"/>
                <w:color w:val="000000"/>
              </w:rPr>
              <w:t>93%</w:t>
            </w:r>
          </w:p>
        </w:tc>
      </w:tr>
      <w:tr w:rsidR="002B1C0C" w:rsidTr="004B196C">
        <w:trPr>
          <w:trHeight w:hRule="exact" w:val="294"/>
        </w:trPr>
        <w:tc>
          <w:tcPr>
            <w:cnfStyle w:val="000010000000" w:firstRow="0" w:lastRow="0" w:firstColumn="0" w:lastColumn="0" w:oddVBand="1" w:evenVBand="0" w:oddHBand="0" w:evenHBand="0" w:firstRowFirstColumn="0" w:firstRowLastColumn="0" w:lastRowFirstColumn="0" w:lastRowLastColumn="0"/>
            <w:tcW w:w="1242" w:type="dxa"/>
            <w:noWrap/>
          </w:tcPr>
          <w:p w:rsidR="002B1C0C" w:rsidRDefault="002B1C0C" w:rsidP="004B196C">
            <w:r>
              <w:t>9.5 to &lt;12.5</w:t>
            </w:r>
          </w:p>
        </w:tc>
        <w:tc>
          <w:tcPr>
            <w:tcW w:w="1560" w:type="dxa"/>
            <w:noWrap/>
            <w:vAlign w:val="bottom"/>
          </w:tcPr>
          <w:p w:rsidR="002B1C0C" w:rsidRPr="00816A09" w:rsidRDefault="002B1C0C" w:rsidP="004B196C">
            <w:pPr>
              <w:jc w:val="center"/>
              <w:cnfStyle w:val="000000000000" w:firstRow="0" w:lastRow="0" w:firstColumn="0" w:lastColumn="0" w:oddVBand="0" w:evenVBand="0" w:oddHBand="0" w:evenHBand="0" w:firstRowFirstColumn="0" w:firstRowLastColumn="0" w:lastRowFirstColumn="0" w:lastRowLastColumn="0"/>
            </w:pPr>
            <w:r>
              <w:rPr>
                <w:rFonts w:cs="Calibri"/>
                <w:color w:val="000000"/>
              </w:rPr>
              <w:t>1.1%</w:t>
            </w:r>
          </w:p>
        </w:tc>
        <w:tc>
          <w:tcPr>
            <w:cnfStyle w:val="000010000000" w:firstRow="0" w:lastRow="0" w:firstColumn="0" w:lastColumn="0" w:oddVBand="1" w:evenVBand="0" w:oddHBand="0" w:evenHBand="0" w:firstRowFirstColumn="0" w:firstRowLastColumn="0" w:lastRowFirstColumn="0" w:lastRowLastColumn="0"/>
            <w:tcW w:w="1417" w:type="dxa"/>
            <w:vAlign w:val="bottom"/>
          </w:tcPr>
          <w:p w:rsidR="002B1C0C" w:rsidRDefault="002B1C0C" w:rsidP="004B196C">
            <w:pPr>
              <w:jc w:val="center"/>
              <w:rPr>
                <w:rFonts w:cs="Calibri"/>
                <w:color w:val="000000"/>
              </w:rPr>
            </w:pPr>
            <w:r>
              <w:rPr>
                <w:rFonts w:cs="Calibri"/>
                <w:color w:val="000000"/>
              </w:rPr>
              <w:t>19.0%</w:t>
            </w:r>
          </w:p>
        </w:tc>
        <w:tc>
          <w:tcPr>
            <w:tcW w:w="1559" w:type="dxa"/>
            <w:vAlign w:val="center"/>
          </w:tcPr>
          <w:p w:rsidR="002B1C0C" w:rsidRDefault="002B1C0C" w:rsidP="004B196C">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20.1%</w:t>
            </w:r>
          </w:p>
        </w:tc>
        <w:tc>
          <w:tcPr>
            <w:cnfStyle w:val="000010000000" w:firstRow="0" w:lastRow="0" w:firstColumn="0" w:lastColumn="0" w:oddVBand="1" w:evenVBand="0" w:oddHBand="0" w:evenHBand="0" w:firstRowFirstColumn="0" w:firstRowLastColumn="0" w:lastRowFirstColumn="0" w:lastRowLastColumn="0"/>
            <w:tcW w:w="2665" w:type="dxa"/>
            <w:noWrap/>
            <w:vAlign w:val="center"/>
          </w:tcPr>
          <w:p w:rsidR="002B1C0C" w:rsidRPr="00816A09" w:rsidRDefault="002B1C0C" w:rsidP="004B196C">
            <w:pPr>
              <w:jc w:val="center"/>
            </w:pPr>
            <w:r>
              <w:rPr>
                <w:rFonts w:cs="Calibri"/>
                <w:color w:val="000000"/>
              </w:rPr>
              <w:t>95%</w:t>
            </w:r>
          </w:p>
        </w:tc>
      </w:tr>
      <w:tr w:rsidR="002B1C0C" w:rsidTr="004B196C">
        <w:trPr>
          <w:cnfStyle w:val="000000100000" w:firstRow="0" w:lastRow="0" w:firstColumn="0" w:lastColumn="0" w:oddVBand="0" w:evenVBand="0" w:oddHBand="1" w:evenHBand="0" w:firstRowFirstColumn="0" w:firstRowLastColumn="0" w:lastRowFirstColumn="0" w:lastRowLastColumn="0"/>
          <w:trHeight w:hRule="exact" w:val="294"/>
        </w:trPr>
        <w:tc>
          <w:tcPr>
            <w:cnfStyle w:val="000010000000" w:firstRow="0" w:lastRow="0" w:firstColumn="0" w:lastColumn="0" w:oddVBand="1" w:evenVBand="0" w:oddHBand="0" w:evenHBand="0" w:firstRowFirstColumn="0" w:firstRowLastColumn="0" w:lastRowFirstColumn="0" w:lastRowLastColumn="0"/>
            <w:tcW w:w="1242" w:type="dxa"/>
            <w:noWrap/>
          </w:tcPr>
          <w:p w:rsidR="002B1C0C" w:rsidRDefault="002B1C0C" w:rsidP="004B196C">
            <w:r>
              <w:t>12.5 to &lt;15.5</w:t>
            </w:r>
          </w:p>
        </w:tc>
        <w:tc>
          <w:tcPr>
            <w:tcW w:w="1560" w:type="dxa"/>
            <w:noWrap/>
            <w:vAlign w:val="bottom"/>
          </w:tcPr>
          <w:p w:rsidR="002B1C0C" w:rsidRPr="00816A09" w:rsidRDefault="002B1C0C" w:rsidP="004B196C">
            <w:pPr>
              <w:jc w:val="center"/>
              <w:cnfStyle w:val="000000100000" w:firstRow="0" w:lastRow="0" w:firstColumn="0" w:lastColumn="0" w:oddVBand="0" w:evenVBand="0" w:oddHBand="1" w:evenHBand="0" w:firstRowFirstColumn="0" w:firstRowLastColumn="0" w:lastRowFirstColumn="0" w:lastRowLastColumn="0"/>
            </w:pPr>
            <w:r>
              <w:rPr>
                <w:rFonts w:cs="Calibri"/>
                <w:color w:val="000000"/>
              </w:rPr>
              <w:t>0.8%</w:t>
            </w:r>
          </w:p>
        </w:tc>
        <w:tc>
          <w:tcPr>
            <w:cnfStyle w:val="000010000000" w:firstRow="0" w:lastRow="0" w:firstColumn="0" w:lastColumn="0" w:oddVBand="1" w:evenVBand="0" w:oddHBand="0" w:evenHBand="0" w:firstRowFirstColumn="0" w:firstRowLastColumn="0" w:lastRowFirstColumn="0" w:lastRowLastColumn="0"/>
            <w:tcW w:w="1417" w:type="dxa"/>
            <w:vAlign w:val="bottom"/>
          </w:tcPr>
          <w:p w:rsidR="002B1C0C" w:rsidRDefault="002B1C0C" w:rsidP="004B196C">
            <w:pPr>
              <w:jc w:val="center"/>
              <w:rPr>
                <w:rFonts w:cs="Calibri"/>
                <w:color w:val="000000"/>
              </w:rPr>
            </w:pPr>
            <w:r>
              <w:rPr>
                <w:rFonts w:cs="Calibri"/>
                <w:color w:val="000000"/>
              </w:rPr>
              <w:t>15.3%</w:t>
            </w:r>
          </w:p>
        </w:tc>
        <w:tc>
          <w:tcPr>
            <w:tcW w:w="1559" w:type="dxa"/>
            <w:vAlign w:val="center"/>
          </w:tcPr>
          <w:p w:rsidR="002B1C0C" w:rsidRDefault="002B1C0C" w:rsidP="004B196C">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16.1%</w:t>
            </w:r>
          </w:p>
        </w:tc>
        <w:tc>
          <w:tcPr>
            <w:cnfStyle w:val="000010000000" w:firstRow="0" w:lastRow="0" w:firstColumn="0" w:lastColumn="0" w:oddVBand="1" w:evenVBand="0" w:oddHBand="0" w:evenHBand="0" w:firstRowFirstColumn="0" w:firstRowLastColumn="0" w:lastRowFirstColumn="0" w:lastRowLastColumn="0"/>
            <w:tcW w:w="2665" w:type="dxa"/>
            <w:noWrap/>
            <w:vAlign w:val="center"/>
          </w:tcPr>
          <w:p w:rsidR="002B1C0C" w:rsidRPr="00816A09" w:rsidRDefault="002B1C0C" w:rsidP="004B196C">
            <w:pPr>
              <w:jc w:val="center"/>
            </w:pPr>
            <w:r>
              <w:rPr>
                <w:rFonts w:cs="Calibri"/>
                <w:color w:val="000000"/>
              </w:rPr>
              <w:t>95%</w:t>
            </w:r>
          </w:p>
        </w:tc>
      </w:tr>
      <w:tr w:rsidR="002B1C0C" w:rsidTr="004B196C">
        <w:trPr>
          <w:trHeight w:hRule="exact" w:val="294"/>
        </w:trPr>
        <w:tc>
          <w:tcPr>
            <w:cnfStyle w:val="000010000000" w:firstRow="0" w:lastRow="0" w:firstColumn="0" w:lastColumn="0" w:oddVBand="1" w:evenVBand="0" w:oddHBand="0" w:evenHBand="0" w:firstRowFirstColumn="0" w:firstRowLastColumn="0" w:lastRowFirstColumn="0" w:lastRowLastColumn="0"/>
            <w:tcW w:w="1242" w:type="dxa"/>
            <w:noWrap/>
          </w:tcPr>
          <w:p w:rsidR="002B1C0C" w:rsidRDefault="002B1C0C" w:rsidP="004B196C">
            <w:r>
              <w:t>15.5 to &lt;20.5</w:t>
            </w:r>
          </w:p>
        </w:tc>
        <w:tc>
          <w:tcPr>
            <w:tcW w:w="1560" w:type="dxa"/>
            <w:noWrap/>
            <w:vAlign w:val="bottom"/>
          </w:tcPr>
          <w:p w:rsidR="002B1C0C" w:rsidRPr="00816A09" w:rsidRDefault="002B1C0C" w:rsidP="004B196C">
            <w:pPr>
              <w:jc w:val="center"/>
              <w:cnfStyle w:val="000000000000" w:firstRow="0" w:lastRow="0" w:firstColumn="0" w:lastColumn="0" w:oddVBand="0" w:evenVBand="0" w:oddHBand="0" w:evenHBand="0" w:firstRowFirstColumn="0" w:firstRowLastColumn="0" w:lastRowFirstColumn="0" w:lastRowLastColumn="0"/>
            </w:pPr>
            <w:r>
              <w:rPr>
                <w:rFonts w:cs="Calibri"/>
                <w:color w:val="000000"/>
              </w:rPr>
              <w:t>0.8%</w:t>
            </w:r>
          </w:p>
        </w:tc>
        <w:tc>
          <w:tcPr>
            <w:cnfStyle w:val="000010000000" w:firstRow="0" w:lastRow="0" w:firstColumn="0" w:lastColumn="0" w:oddVBand="1" w:evenVBand="0" w:oddHBand="0" w:evenHBand="0" w:firstRowFirstColumn="0" w:firstRowLastColumn="0" w:lastRowFirstColumn="0" w:lastRowLastColumn="0"/>
            <w:tcW w:w="1417" w:type="dxa"/>
            <w:vAlign w:val="bottom"/>
          </w:tcPr>
          <w:p w:rsidR="002B1C0C" w:rsidRDefault="002B1C0C" w:rsidP="004B196C">
            <w:pPr>
              <w:jc w:val="center"/>
              <w:rPr>
                <w:rFonts w:cs="Calibri"/>
                <w:color w:val="000000"/>
              </w:rPr>
            </w:pPr>
            <w:r>
              <w:rPr>
                <w:rFonts w:cs="Calibri"/>
                <w:color w:val="000000"/>
              </w:rPr>
              <w:t>15.3%</w:t>
            </w:r>
          </w:p>
        </w:tc>
        <w:tc>
          <w:tcPr>
            <w:tcW w:w="1559" w:type="dxa"/>
            <w:vAlign w:val="center"/>
          </w:tcPr>
          <w:p w:rsidR="002B1C0C" w:rsidRDefault="002B1C0C" w:rsidP="004B196C">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16.1%</w:t>
            </w:r>
          </w:p>
        </w:tc>
        <w:tc>
          <w:tcPr>
            <w:cnfStyle w:val="000010000000" w:firstRow="0" w:lastRow="0" w:firstColumn="0" w:lastColumn="0" w:oddVBand="1" w:evenVBand="0" w:oddHBand="0" w:evenHBand="0" w:firstRowFirstColumn="0" w:firstRowLastColumn="0" w:lastRowFirstColumn="0" w:lastRowLastColumn="0"/>
            <w:tcW w:w="2665" w:type="dxa"/>
            <w:noWrap/>
            <w:vAlign w:val="center"/>
          </w:tcPr>
          <w:p w:rsidR="002B1C0C" w:rsidRPr="00816A09" w:rsidRDefault="002B1C0C" w:rsidP="004B196C">
            <w:pPr>
              <w:jc w:val="center"/>
            </w:pPr>
            <w:r>
              <w:rPr>
                <w:rFonts w:cs="Calibri"/>
                <w:color w:val="000000"/>
              </w:rPr>
              <w:t>95%</w:t>
            </w:r>
          </w:p>
        </w:tc>
      </w:tr>
      <w:tr w:rsidR="002B1C0C" w:rsidTr="004B196C">
        <w:trPr>
          <w:cnfStyle w:val="000000100000" w:firstRow="0" w:lastRow="0" w:firstColumn="0" w:lastColumn="0" w:oddVBand="0" w:evenVBand="0" w:oddHBand="1" w:evenHBand="0" w:firstRowFirstColumn="0" w:firstRowLastColumn="0" w:lastRowFirstColumn="0" w:lastRowLastColumn="0"/>
          <w:trHeight w:hRule="exact" w:val="294"/>
        </w:trPr>
        <w:tc>
          <w:tcPr>
            <w:cnfStyle w:val="000010000000" w:firstRow="0" w:lastRow="0" w:firstColumn="0" w:lastColumn="0" w:oddVBand="1" w:evenVBand="0" w:oddHBand="0" w:evenHBand="0" w:firstRowFirstColumn="0" w:firstRowLastColumn="0" w:lastRowFirstColumn="0" w:lastRowLastColumn="0"/>
            <w:tcW w:w="1242" w:type="dxa"/>
            <w:noWrap/>
          </w:tcPr>
          <w:p w:rsidR="002B1C0C" w:rsidRDefault="002B1C0C" w:rsidP="004B196C">
            <w:r>
              <w:t>20.5 to 30.5</w:t>
            </w:r>
          </w:p>
        </w:tc>
        <w:tc>
          <w:tcPr>
            <w:tcW w:w="1560" w:type="dxa"/>
            <w:noWrap/>
            <w:vAlign w:val="bottom"/>
          </w:tcPr>
          <w:p w:rsidR="002B1C0C" w:rsidRPr="00816A09" w:rsidRDefault="002B1C0C" w:rsidP="004B196C">
            <w:pPr>
              <w:jc w:val="center"/>
              <w:cnfStyle w:val="000000100000" w:firstRow="0" w:lastRow="0" w:firstColumn="0" w:lastColumn="0" w:oddVBand="0" w:evenVBand="0" w:oddHBand="1" w:evenHBand="0" w:firstRowFirstColumn="0" w:firstRowLastColumn="0" w:lastRowFirstColumn="0" w:lastRowLastColumn="0"/>
            </w:pPr>
            <w:r>
              <w:rPr>
                <w:rFonts w:cs="Calibri"/>
                <w:color w:val="000000"/>
              </w:rPr>
              <w:t>0.0%</w:t>
            </w:r>
          </w:p>
        </w:tc>
        <w:tc>
          <w:tcPr>
            <w:cnfStyle w:val="000010000000" w:firstRow="0" w:lastRow="0" w:firstColumn="0" w:lastColumn="0" w:oddVBand="1" w:evenVBand="0" w:oddHBand="0" w:evenHBand="0" w:firstRowFirstColumn="0" w:firstRowLastColumn="0" w:lastRowFirstColumn="0" w:lastRowLastColumn="0"/>
            <w:tcW w:w="1417" w:type="dxa"/>
            <w:vAlign w:val="bottom"/>
          </w:tcPr>
          <w:p w:rsidR="002B1C0C" w:rsidRDefault="002B1C0C" w:rsidP="004B196C">
            <w:pPr>
              <w:jc w:val="center"/>
              <w:rPr>
                <w:rFonts w:cs="Calibri"/>
                <w:color w:val="000000"/>
              </w:rPr>
            </w:pPr>
            <w:r>
              <w:rPr>
                <w:rFonts w:cs="Calibri"/>
                <w:color w:val="000000"/>
              </w:rPr>
              <w:t>12.6%</w:t>
            </w:r>
          </w:p>
        </w:tc>
        <w:tc>
          <w:tcPr>
            <w:tcW w:w="1559" w:type="dxa"/>
            <w:vAlign w:val="center"/>
          </w:tcPr>
          <w:p w:rsidR="002B1C0C" w:rsidRDefault="002B1C0C" w:rsidP="004B196C">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12.6%</w:t>
            </w:r>
          </w:p>
        </w:tc>
        <w:tc>
          <w:tcPr>
            <w:cnfStyle w:val="000010000000" w:firstRow="0" w:lastRow="0" w:firstColumn="0" w:lastColumn="0" w:oddVBand="1" w:evenVBand="0" w:oddHBand="0" w:evenHBand="0" w:firstRowFirstColumn="0" w:firstRowLastColumn="0" w:lastRowFirstColumn="0" w:lastRowLastColumn="0"/>
            <w:tcW w:w="2665" w:type="dxa"/>
            <w:noWrap/>
            <w:vAlign w:val="center"/>
          </w:tcPr>
          <w:p w:rsidR="002B1C0C" w:rsidRPr="00816A09" w:rsidRDefault="002B1C0C" w:rsidP="004B196C">
            <w:pPr>
              <w:jc w:val="center"/>
            </w:pPr>
            <w:r>
              <w:rPr>
                <w:rFonts w:cs="Calibri"/>
                <w:color w:val="000000"/>
              </w:rPr>
              <w:t>100%</w:t>
            </w:r>
          </w:p>
        </w:tc>
      </w:tr>
      <w:tr w:rsidR="002B1C0C" w:rsidTr="004B196C">
        <w:trPr>
          <w:trHeight w:hRule="exact" w:val="294"/>
        </w:trPr>
        <w:tc>
          <w:tcPr>
            <w:cnfStyle w:val="000010000000" w:firstRow="0" w:lastRow="0" w:firstColumn="0" w:lastColumn="0" w:oddVBand="1" w:evenVBand="0" w:oddHBand="0" w:evenHBand="0" w:firstRowFirstColumn="0" w:firstRowLastColumn="0" w:lastRowFirstColumn="0" w:lastRowLastColumn="0"/>
            <w:tcW w:w="1242" w:type="dxa"/>
            <w:noWrap/>
          </w:tcPr>
          <w:p w:rsidR="002B1C0C" w:rsidRDefault="002B1C0C" w:rsidP="004B196C">
            <w:r>
              <w:t>30.5 to 40.5</w:t>
            </w:r>
          </w:p>
        </w:tc>
        <w:tc>
          <w:tcPr>
            <w:tcW w:w="1560" w:type="dxa"/>
            <w:noWrap/>
            <w:vAlign w:val="bottom"/>
          </w:tcPr>
          <w:p w:rsidR="002B1C0C" w:rsidRPr="00816A09" w:rsidRDefault="002B1C0C" w:rsidP="004B196C">
            <w:pPr>
              <w:jc w:val="center"/>
              <w:cnfStyle w:val="000000000000" w:firstRow="0" w:lastRow="0" w:firstColumn="0" w:lastColumn="0" w:oddVBand="0" w:evenVBand="0" w:oddHBand="0" w:evenHBand="0" w:firstRowFirstColumn="0" w:firstRowLastColumn="0" w:lastRowFirstColumn="0" w:lastRowLastColumn="0"/>
            </w:pPr>
            <w:r>
              <w:rPr>
                <w:rFonts w:cs="Calibri"/>
                <w:color w:val="000000"/>
              </w:rPr>
              <w:t>0.0%</w:t>
            </w:r>
          </w:p>
        </w:tc>
        <w:tc>
          <w:tcPr>
            <w:cnfStyle w:val="000010000000" w:firstRow="0" w:lastRow="0" w:firstColumn="0" w:lastColumn="0" w:oddVBand="1" w:evenVBand="0" w:oddHBand="0" w:evenHBand="0" w:firstRowFirstColumn="0" w:firstRowLastColumn="0" w:lastRowFirstColumn="0" w:lastRowLastColumn="0"/>
            <w:tcW w:w="1417" w:type="dxa"/>
            <w:vAlign w:val="bottom"/>
          </w:tcPr>
          <w:p w:rsidR="002B1C0C" w:rsidRDefault="002B1C0C" w:rsidP="004B196C">
            <w:pPr>
              <w:jc w:val="center"/>
              <w:rPr>
                <w:rFonts w:cs="Calibri"/>
                <w:color w:val="000000"/>
              </w:rPr>
            </w:pPr>
            <w:r>
              <w:rPr>
                <w:rFonts w:cs="Calibri"/>
                <w:color w:val="000000"/>
              </w:rPr>
              <w:t>5.9%</w:t>
            </w:r>
          </w:p>
        </w:tc>
        <w:tc>
          <w:tcPr>
            <w:tcW w:w="1559" w:type="dxa"/>
            <w:vAlign w:val="center"/>
          </w:tcPr>
          <w:p w:rsidR="002B1C0C" w:rsidRDefault="002B1C0C" w:rsidP="004B196C">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5.9%</w:t>
            </w:r>
          </w:p>
        </w:tc>
        <w:tc>
          <w:tcPr>
            <w:cnfStyle w:val="000010000000" w:firstRow="0" w:lastRow="0" w:firstColumn="0" w:lastColumn="0" w:oddVBand="1" w:evenVBand="0" w:oddHBand="0" w:evenHBand="0" w:firstRowFirstColumn="0" w:firstRowLastColumn="0" w:lastRowFirstColumn="0" w:lastRowLastColumn="0"/>
            <w:tcW w:w="2665" w:type="dxa"/>
            <w:noWrap/>
            <w:vAlign w:val="center"/>
          </w:tcPr>
          <w:p w:rsidR="002B1C0C" w:rsidRPr="00816A09" w:rsidRDefault="002B1C0C" w:rsidP="004B196C">
            <w:pPr>
              <w:jc w:val="center"/>
            </w:pPr>
            <w:r>
              <w:rPr>
                <w:rFonts w:cs="Calibri"/>
                <w:color w:val="000000"/>
              </w:rPr>
              <w:t>100%</w:t>
            </w:r>
          </w:p>
        </w:tc>
      </w:tr>
      <w:tr w:rsidR="002B1C0C" w:rsidTr="004B196C">
        <w:trPr>
          <w:cnfStyle w:val="000000100000" w:firstRow="0" w:lastRow="0" w:firstColumn="0" w:lastColumn="0" w:oddVBand="0" w:evenVBand="0" w:oddHBand="1" w:evenHBand="0" w:firstRowFirstColumn="0" w:firstRowLastColumn="0" w:lastRowFirstColumn="0" w:lastRowLastColumn="0"/>
          <w:trHeight w:hRule="exact" w:val="294"/>
        </w:trPr>
        <w:tc>
          <w:tcPr>
            <w:cnfStyle w:val="000010000000" w:firstRow="0" w:lastRow="0" w:firstColumn="0" w:lastColumn="0" w:oddVBand="1" w:evenVBand="0" w:oddHBand="0" w:evenHBand="0" w:firstRowFirstColumn="0" w:firstRowLastColumn="0" w:lastRowFirstColumn="0" w:lastRowLastColumn="0"/>
            <w:tcW w:w="1242" w:type="dxa"/>
            <w:noWrap/>
          </w:tcPr>
          <w:p w:rsidR="002B1C0C" w:rsidRDefault="002B1C0C" w:rsidP="004B196C">
            <w:r>
              <w:t>&gt;40.5</w:t>
            </w:r>
          </w:p>
        </w:tc>
        <w:tc>
          <w:tcPr>
            <w:tcW w:w="1560" w:type="dxa"/>
            <w:noWrap/>
            <w:vAlign w:val="bottom"/>
          </w:tcPr>
          <w:p w:rsidR="002B1C0C" w:rsidRDefault="002B1C0C" w:rsidP="004B196C">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0.0%</w:t>
            </w:r>
          </w:p>
        </w:tc>
        <w:tc>
          <w:tcPr>
            <w:cnfStyle w:val="000010000000" w:firstRow="0" w:lastRow="0" w:firstColumn="0" w:lastColumn="0" w:oddVBand="1" w:evenVBand="0" w:oddHBand="0" w:evenHBand="0" w:firstRowFirstColumn="0" w:firstRowLastColumn="0" w:lastRowFirstColumn="0" w:lastRowLastColumn="0"/>
            <w:tcW w:w="1417" w:type="dxa"/>
            <w:vAlign w:val="bottom"/>
          </w:tcPr>
          <w:p w:rsidR="002B1C0C" w:rsidRDefault="002B1C0C" w:rsidP="004B196C">
            <w:pPr>
              <w:jc w:val="center"/>
              <w:rPr>
                <w:rFonts w:cs="Calibri"/>
                <w:color w:val="000000"/>
              </w:rPr>
            </w:pPr>
            <w:r>
              <w:rPr>
                <w:rFonts w:cs="Calibri"/>
                <w:color w:val="000000"/>
              </w:rPr>
              <w:t>0.0%</w:t>
            </w:r>
          </w:p>
        </w:tc>
        <w:tc>
          <w:tcPr>
            <w:tcW w:w="1559" w:type="dxa"/>
            <w:vAlign w:val="center"/>
          </w:tcPr>
          <w:p w:rsidR="002B1C0C" w:rsidRDefault="002B1C0C" w:rsidP="004B196C">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0.0%</w:t>
            </w:r>
          </w:p>
        </w:tc>
        <w:tc>
          <w:tcPr>
            <w:cnfStyle w:val="000010000000" w:firstRow="0" w:lastRow="0" w:firstColumn="0" w:lastColumn="0" w:oddVBand="1" w:evenVBand="0" w:oddHBand="0" w:evenHBand="0" w:firstRowFirstColumn="0" w:firstRowLastColumn="0" w:lastRowFirstColumn="0" w:lastRowLastColumn="0"/>
            <w:tcW w:w="2665" w:type="dxa"/>
            <w:noWrap/>
            <w:vAlign w:val="center"/>
          </w:tcPr>
          <w:p w:rsidR="002B1C0C" w:rsidRDefault="002B1C0C" w:rsidP="004B196C">
            <w:pPr>
              <w:jc w:val="center"/>
              <w:rPr>
                <w:rFonts w:cs="Calibri"/>
                <w:color w:val="000000"/>
              </w:rPr>
            </w:pPr>
            <w:r>
              <w:rPr>
                <w:rFonts w:cs="Calibri"/>
                <w:color w:val="000000"/>
              </w:rPr>
              <w:t>-</w:t>
            </w:r>
          </w:p>
        </w:tc>
      </w:tr>
    </w:tbl>
    <w:p w:rsidR="002B1C0C" w:rsidRPr="00816A09" w:rsidRDefault="002B1C0C" w:rsidP="002B1C0C">
      <w:pPr>
        <w:rPr>
          <w:rFonts w:asciiTheme="majorHAnsi" w:hAnsiTheme="majorHAnsi"/>
          <w:i/>
          <w:color w:val="2E74B5" w:themeColor="accent1" w:themeShade="BF"/>
        </w:rPr>
      </w:pPr>
      <w:r>
        <w:br w:type="page"/>
      </w:r>
    </w:p>
    <w:p w:rsidR="002B1C0C" w:rsidRDefault="002B1C0C" w:rsidP="002B1C0C">
      <w:pPr>
        <w:pStyle w:val="Caption"/>
        <w:keepNext/>
        <w:jc w:val="center"/>
      </w:pPr>
      <w:r>
        <w:lastRenderedPageBreak/>
        <w:t>S</w:t>
      </w:r>
      <w:r w:rsidR="000B4666">
        <w:t>2</w:t>
      </w:r>
      <w:r>
        <w:t xml:space="preserve"> Table </w:t>
      </w:r>
      <w:r w:rsidR="000B4666">
        <w:t>3</w:t>
      </w:r>
      <w:bookmarkStart w:id="3" w:name="_GoBack"/>
      <w:bookmarkEnd w:id="3"/>
      <w:r>
        <w:t xml:space="preserve">: </w:t>
      </w:r>
      <w:r w:rsidRPr="003D2587">
        <w:t>Speeds for bikes (speeds for traditional bikes were calculated from the NTS, and for e-bikes from a Dutch report)</w:t>
      </w:r>
    </w:p>
    <w:tbl>
      <w:tblPr>
        <w:tblStyle w:val="ListTable31"/>
        <w:tblW w:w="6949" w:type="dxa"/>
        <w:jc w:val="center"/>
        <w:tblLook w:val="0020" w:firstRow="1" w:lastRow="0" w:firstColumn="0" w:lastColumn="0" w:noHBand="0" w:noVBand="0"/>
      </w:tblPr>
      <w:tblGrid>
        <w:gridCol w:w="1635"/>
        <w:gridCol w:w="1339"/>
        <w:gridCol w:w="2797"/>
        <w:gridCol w:w="1178"/>
      </w:tblGrid>
      <w:tr w:rsidR="002B1C0C" w:rsidRPr="002F6155" w:rsidTr="004B196C">
        <w:trPr>
          <w:cnfStyle w:val="100000000000" w:firstRow="1" w:lastRow="0" w:firstColumn="0" w:lastColumn="0" w:oddVBand="0" w:evenVBand="0" w:oddHBand="0" w:evenHBand="0" w:firstRowFirstColumn="0" w:firstRowLastColumn="0" w:lastRowFirstColumn="0" w:lastRowLastColumn="0"/>
          <w:trHeight w:val="209"/>
          <w:jc w:val="center"/>
        </w:trPr>
        <w:tc>
          <w:tcPr>
            <w:cnfStyle w:val="000010000000" w:firstRow="0" w:lastRow="0" w:firstColumn="0" w:lastColumn="0" w:oddVBand="1" w:evenVBand="0" w:oddHBand="0" w:evenHBand="0" w:firstRowFirstColumn="0" w:firstRowLastColumn="0" w:lastRowFirstColumn="0" w:lastRowLastColumn="0"/>
            <w:tcW w:w="1635" w:type="dxa"/>
            <w:shd w:val="clear" w:color="auto" w:fill="FFFFFF" w:themeFill="background1"/>
            <w:noWrap/>
          </w:tcPr>
          <w:p w:rsidR="002B1C0C" w:rsidRPr="00143040" w:rsidRDefault="002B1C0C" w:rsidP="004B196C">
            <w:pPr>
              <w:rPr>
                <w:color w:val="auto"/>
              </w:rPr>
            </w:pPr>
            <w:r w:rsidRPr="007904D0">
              <w:rPr>
                <w:color w:val="auto"/>
              </w:rPr>
              <w:t>Age band</w:t>
            </w:r>
          </w:p>
        </w:tc>
        <w:tc>
          <w:tcPr>
            <w:tcW w:w="1339" w:type="dxa"/>
            <w:shd w:val="clear" w:color="auto" w:fill="FFFFFF" w:themeFill="background1"/>
            <w:noWrap/>
          </w:tcPr>
          <w:p w:rsidR="002B1C0C" w:rsidRPr="00143040" w:rsidRDefault="002B1C0C" w:rsidP="004B196C">
            <w:pPr>
              <w:cnfStyle w:val="100000000000" w:firstRow="1" w:lastRow="0" w:firstColumn="0" w:lastColumn="0" w:oddVBand="0" w:evenVBand="0" w:oddHBand="0" w:evenHBand="0" w:firstRowFirstColumn="0" w:firstRowLastColumn="0" w:lastRowFirstColumn="0" w:lastRowLastColumn="0"/>
              <w:rPr>
                <w:color w:val="auto"/>
              </w:rPr>
            </w:pPr>
            <w:r w:rsidRPr="007904D0">
              <w:rPr>
                <w:color w:val="auto"/>
              </w:rPr>
              <w:t>Speed (males, mph)</w:t>
            </w:r>
          </w:p>
        </w:tc>
        <w:tc>
          <w:tcPr>
            <w:cnfStyle w:val="000010000000" w:firstRow="0" w:lastRow="0" w:firstColumn="0" w:lastColumn="0" w:oddVBand="1" w:evenVBand="0" w:oddHBand="0" w:evenHBand="0" w:firstRowFirstColumn="0" w:firstRowLastColumn="0" w:lastRowFirstColumn="0" w:lastRowLastColumn="0"/>
            <w:tcW w:w="2797" w:type="dxa"/>
            <w:shd w:val="clear" w:color="auto" w:fill="FFFFFF" w:themeFill="background1"/>
            <w:noWrap/>
          </w:tcPr>
          <w:p w:rsidR="002B1C0C" w:rsidRPr="00143040" w:rsidRDefault="002B1C0C" w:rsidP="004B196C">
            <w:pPr>
              <w:rPr>
                <w:color w:val="auto"/>
              </w:rPr>
            </w:pPr>
            <w:r w:rsidRPr="007904D0">
              <w:rPr>
                <w:color w:val="auto"/>
              </w:rPr>
              <w:t>Speed (females, mph)</w:t>
            </w:r>
          </w:p>
        </w:tc>
        <w:tc>
          <w:tcPr>
            <w:tcW w:w="1178" w:type="dxa"/>
            <w:shd w:val="clear" w:color="auto" w:fill="FFFFFF" w:themeFill="background1"/>
          </w:tcPr>
          <w:p w:rsidR="002B1C0C" w:rsidRPr="00143040" w:rsidRDefault="002B1C0C" w:rsidP="004B196C">
            <w:pPr>
              <w:cnfStyle w:val="100000000000" w:firstRow="1" w:lastRow="0" w:firstColumn="0" w:lastColumn="0" w:oddVBand="0" w:evenVBand="0" w:oddHBand="0" w:evenHBand="0" w:firstRowFirstColumn="0" w:firstRowLastColumn="0" w:lastRowFirstColumn="0" w:lastRowLastColumn="0"/>
              <w:rPr>
                <w:color w:val="auto"/>
              </w:rPr>
            </w:pPr>
            <w:r w:rsidRPr="007904D0">
              <w:rPr>
                <w:color w:val="auto"/>
              </w:rPr>
              <w:t>Speed (e-bikes)</w:t>
            </w:r>
          </w:p>
        </w:tc>
      </w:tr>
      <w:tr w:rsidR="002B1C0C" w:rsidTr="004B196C">
        <w:trPr>
          <w:cnfStyle w:val="000000100000" w:firstRow="0" w:lastRow="0" w:firstColumn="0" w:lastColumn="0" w:oddVBand="0" w:evenVBand="0" w:oddHBand="1" w:evenHBand="0" w:firstRowFirstColumn="0" w:firstRowLastColumn="0" w:lastRowFirstColumn="0" w:lastRowLastColumn="0"/>
          <w:trHeight w:val="199"/>
          <w:jc w:val="center"/>
        </w:trPr>
        <w:tc>
          <w:tcPr>
            <w:cnfStyle w:val="000010000000" w:firstRow="0" w:lastRow="0" w:firstColumn="0" w:lastColumn="0" w:oddVBand="1" w:evenVBand="0" w:oddHBand="0" w:evenHBand="0" w:firstRowFirstColumn="0" w:firstRowLastColumn="0" w:lastRowFirstColumn="0" w:lastRowLastColumn="0"/>
            <w:tcW w:w="1635" w:type="dxa"/>
            <w:noWrap/>
          </w:tcPr>
          <w:p w:rsidR="002B1C0C" w:rsidRDefault="002B1C0C" w:rsidP="004B196C">
            <w:r>
              <w:t>18-29</w:t>
            </w:r>
          </w:p>
        </w:tc>
        <w:tc>
          <w:tcPr>
            <w:tcW w:w="1339" w:type="dxa"/>
            <w:noWrap/>
          </w:tcPr>
          <w:p w:rsidR="002B1C0C" w:rsidRDefault="002B1C0C" w:rsidP="004B196C">
            <w:pPr>
              <w:cnfStyle w:val="000000100000" w:firstRow="0" w:lastRow="0" w:firstColumn="0" w:lastColumn="0" w:oddVBand="0" w:evenVBand="0" w:oddHBand="1" w:evenHBand="0" w:firstRowFirstColumn="0" w:firstRowLastColumn="0" w:lastRowFirstColumn="0" w:lastRowLastColumn="0"/>
            </w:pPr>
            <w:r>
              <w:t>11.28</w:t>
            </w:r>
          </w:p>
        </w:tc>
        <w:tc>
          <w:tcPr>
            <w:cnfStyle w:val="000010000000" w:firstRow="0" w:lastRow="0" w:firstColumn="0" w:lastColumn="0" w:oddVBand="1" w:evenVBand="0" w:oddHBand="0" w:evenHBand="0" w:firstRowFirstColumn="0" w:firstRowLastColumn="0" w:lastRowFirstColumn="0" w:lastRowLastColumn="0"/>
            <w:tcW w:w="2797" w:type="dxa"/>
            <w:noWrap/>
          </w:tcPr>
          <w:p w:rsidR="002B1C0C" w:rsidRDefault="002B1C0C" w:rsidP="004B196C">
            <w:r>
              <w:t>10.46</w:t>
            </w:r>
          </w:p>
        </w:tc>
        <w:tc>
          <w:tcPr>
            <w:tcW w:w="1178" w:type="dxa"/>
            <w:vMerge w:val="restart"/>
          </w:tcPr>
          <w:p w:rsidR="002B1C0C" w:rsidRDefault="002B1C0C" w:rsidP="004B196C">
            <w:pPr>
              <w:cnfStyle w:val="000000100000" w:firstRow="0" w:lastRow="0" w:firstColumn="0" w:lastColumn="0" w:oddVBand="0" w:evenVBand="0" w:oddHBand="1" w:evenHBand="0" w:firstRowFirstColumn="0" w:firstRowLastColumn="0" w:lastRowFirstColumn="0" w:lastRowLastColumn="0"/>
            </w:pPr>
          </w:p>
          <w:p w:rsidR="002B1C0C" w:rsidRDefault="002B1C0C" w:rsidP="004B196C">
            <w:pPr>
              <w:cnfStyle w:val="000000100000" w:firstRow="0" w:lastRow="0" w:firstColumn="0" w:lastColumn="0" w:oddVBand="0" w:evenVBand="0" w:oddHBand="1" w:evenHBand="0" w:firstRowFirstColumn="0" w:firstRowLastColumn="0" w:lastRowFirstColumn="0" w:lastRowLastColumn="0"/>
            </w:pPr>
          </w:p>
          <w:p w:rsidR="002B1C0C" w:rsidRDefault="002B1C0C" w:rsidP="004B196C">
            <w:pPr>
              <w:cnfStyle w:val="000000100000" w:firstRow="0" w:lastRow="0" w:firstColumn="0" w:lastColumn="0" w:oddVBand="0" w:evenVBand="0" w:oddHBand="1" w:evenHBand="0" w:firstRowFirstColumn="0" w:firstRowLastColumn="0" w:lastRowFirstColumn="0" w:lastRowLastColumn="0"/>
            </w:pPr>
            <w:r>
              <w:t xml:space="preserve">11.28 </w:t>
            </w:r>
            <w:r>
              <w:fldChar w:fldCharType="begin" w:fldLock="1"/>
            </w:r>
            <w:r>
              <w:instrText>ADDIN CSL_CITATION { "citationItems" : [ { "id" : "ITEM-1", "itemData" : { "author" : [ { "dropping-particle" : "", "family" : "Boggelen", "given" : "Otto", "non-dropping-particle" : "van", "parse-names" : false, "suffix" : "" } ], "id" : "ITEM-1", "issued" : { "date-parts" : [ [ "2013" ] ] }, "publisher" : "Fietsberaad", "title" : "Feiten over elektrische fietsen", "type" : "book" }, "uris" : [ "http://www.mendeley.com/documents/?uuid=b3a80a7f-91d4-4730-9c0d-4d91d5fcf8b9", "http://www.mendeley.com/documents/?uuid=e0765765-1a1e-4dd7-8c97-10335ee09e58" ] } ], "mendeley" : { "formattedCitation" : "(48)", "plainTextFormattedCitation" : "(48)", "previouslyFormattedCitation" : "(48)" }, "properties" : {  }, "schema" : "https://github.com/citation-style-language/schema/raw/master/csl-citation.json" }</w:instrText>
            </w:r>
            <w:r>
              <w:fldChar w:fldCharType="separate"/>
            </w:r>
            <w:r w:rsidRPr="00602073">
              <w:rPr>
                <w:noProof/>
              </w:rPr>
              <w:t>(48)</w:t>
            </w:r>
            <w:r>
              <w:fldChar w:fldCharType="end"/>
            </w:r>
          </w:p>
        </w:tc>
      </w:tr>
      <w:tr w:rsidR="002B1C0C" w:rsidTr="004B196C">
        <w:trPr>
          <w:trHeight w:val="199"/>
          <w:jc w:val="center"/>
        </w:trPr>
        <w:tc>
          <w:tcPr>
            <w:cnfStyle w:val="000010000000" w:firstRow="0" w:lastRow="0" w:firstColumn="0" w:lastColumn="0" w:oddVBand="1" w:evenVBand="0" w:oddHBand="0" w:evenHBand="0" w:firstRowFirstColumn="0" w:firstRowLastColumn="0" w:lastRowFirstColumn="0" w:lastRowLastColumn="0"/>
            <w:tcW w:w="1635" w:type="dxa"/>
            <w:noWrap/>
          </w:tcPr>
          <w:p w:rsidR="002B1C0C" w:rsidRDefault="002B1C0C" w:rsidP="004B196C">
            <w:r>
              <w:t>30-49</w:t>
            </w:r>
          </w:p>
        </w:tc>
        <w:tc>
          <w:tcPr>
            <w:tcW w:w="1339" w:type="dxa"/>
            <w:noWrap/>
          </w:tcPr>
          <w:p w:rsidR="002B1C0C" w:rsidRDefault="002B1C0C" w:rsidP="004B196C">
            <w:pPr>
              <w:cnfStyle w:val="000000000000" w:firstRow="0" w:lastRow="0" w:firstColumn="0" w:lastColumn="0" w:oddVBand="0" w:evenVBand="0" w:oddHBand="0" w:evenHBand="0" w:firstRowFirstColumn="0" w:firstRowLastColumn="0" w:lastRowFirstColumn="0" w:lastRowLastColumn="0"/>
            </w:pPr>
            <w:r>
              <w:t>10.81</w:t>
            </w:r>
          </w:p>
        </w:tc>
        <w:tc>
          <w:tcPr>
            <w:cnfStyle w:val="000010000000" w:firstRow="0" w:lastRow="0" w:firstColumn="0" w:lastColumn="0" w:oddVBand="1" w:evenVBand="0" w:oddHBand="0" w:evenHBand="0" w:firstRowFirstColumn="0" w:firstRowLastColumn="0" w:lastRowFirstColumn="0" w:lastRowLastColumn="0"/>
            <w:tcW w:w="2797" w:type="dxa"/>
            <w:noWrap/>
          </w:tcPr>
          <w:p w:rsidR="002B1C0C" w:rsidRDefault="002B1C0C" w:rsidP="004B196C">
            <w:r>
              <w:t>10.07</w:t>
            </w:r>
          </w:p>
        </w:tc>
        <w:tc>
          <w:tcPr>
            <w:tcW w:w="1178" w:type="dxa"/>
            <w:vMerge/>
          </w:tcPr>
          <w:p w:rsidR="002B1C0C" w:rsidRDefault="002B1C0C" w:rsidP="004B196C">
            <w:pPr>
              <w:cnfStyle w:val="000000000000" w:firstRow="0" w:lastRow="0" w:firstColumn="0" w:lastColumn="0" w:oddVBand="0" w:evenVBand="0" w:oddHBand="0" w:evenHBand="0" w:firstRowFirstColumn="0" w:firstRowLastColumn="0" w:lastRowFirstColumn="0" w:lastRowLastColumn="0"/>
            </w:pPr>
          </w:p>
        </w:tc>
      </w:tr>
      <w:tr w:rsidR="002B1C0C" w:rsidTr="004B196C">
        <w:trPr>
          <w:cnfStyle w:val="000000100000" w:firstRow="0" w:lastRow="0" w:firstColumn="0" w:lastColumn="0" w:oddVBand="0" w:evenVBand="0" w:oddHBand="1" w:evenHBand="0" w:firstRowFirstColumn="0" w:firstRowLastColumn="0" w:lastRowFirstColumn="0" w:lastRowLastColumn="0"/>
          <w:trHeight w:val="199"/>
          <w:jc w:val="center"/>
        </w:trPr>
        <w:tc>
          <w:tcPr>
            <w:cnfStyle w:val="000010000000" w:firstRow="0" w:lastRow="0" w:firstColumn="0" w:lastColumn="0" w:oddVBand="1" w:evenVBand="0" w:oddHBand="0" w:evenHBand="0" w:firstRowFirstColumn="0" w:firstRowLastColumn="0" w:lastRowFirstColumn="0" w:lastRowLastColumn="0"/>
            <w:tcW w:w="1635" w:type="dxa"/>
            <w:noWrap/>
          </w:tcPr>
          <w:p w:rsidR="002B1C0C" w:rsidRDefault="002B1C0C" w:rsidP="004B196C">
            <w:r>
              <w:t>50-59</w:t>
            </w:r>
          </w:p>
        </w:tc>
        <w:tc>
          <w:tcPr>
            <w:tcW w:w="1339" w:type="dxa"/>
            <w:noWrap/>
          </w:tcPr>
          <w:p w:rsidR="002B1C0C" w:rsidRDefault="002B1C0C" w:rsidP="004B196C">
            <w:pPr>
              <w:cnfStyle w:val="000000100000" w:firstRow="0" w:lastRow="0" w:firstColumn="0" w:lastColumn="0" w:oddVBand="0" w:evenVBand="0" w:oddHBand="1" w:evenHBand="0" w:firstRowFirstColumn="0" w:firstRowLastColumn="0" w:lastRowFirstColumn="0" w:lastRowLastColumn="0"/>
            </w:pPr>
            <w:r>
              <w:t>10.53</w:t>
            </w:r>
          </w:p>
        </w:tc>
        <w:tc>
          <w:tcPr>
            <w:cnfStyle w:val="000010000000" w:firstRow="0" w:lastRow="0" w:firstColumn="0" w:lastColumn="0" w:oddVBand="1" w:evenVBand="0" w:oddHBand="0" w:evenHBand="0" w:firstRowFirstColumn="0" w:firstRowLastColumn="0" w:lastRowFirstColumn="0" w:lastRowLastColumn="0"/>
            <w:tcW w:w="2797" w:type="dxa"/>
            <w:noWrap/>
          </w:tcPr>
          <w:p w:rsidR="002B1C0C" w:rsidRDefault="002B1C0C" w:rsidP="004B196C">
            <w:r>
              <w:t>9.82</w:t>
            </w:r>
          </w:p>
        </w:tc>
        <w:tc>
          <w:tcPr>
            <w:tcW w:w="1178" w:type="dxa"/>
            <w:vMerge/>
          </w:tcPr>
          <w:p w:rsidR="002B1C0C" w:rsidRDefault="002B1C0C" w:rsidP="004B196C">
            <w:pPr>
              <w:cnfStyle w:val="000000100000" w:firstRow="0" w:lastRow="0" w:firstColumn="0" w:lastColumn="0" w:oddVBand="0" w:evenVBand="0" w:oddHBand="1" w:evenHBand="0" w:firstRowFirstColumn="0" w:firstRowLastColumn="0" w:lastRowFirstColumn="0" w:lastRowLastColumn="0"/>
            </w:pPr>
          </w:p>
        </w:tc>
      </w:tr>
      <w:tr w:rsidR="002B1C0C" w:rsidTr="004B196C">
        <w:trPr>
          <w:trHeight w:val="199"/>
          <w:jc w:val="center"/>
        </w:trPr>
        <w:tc>
          <w:tcPr>
            <w:cnfStyle w:val="000010000000" w:firstRow="0" w:lastRow="0" w:firstColumn="0" w:lastColumn="0" w:oddVBand="1" w:evenVBand="0" w:oddHBand="0" w:evenHBand="0" w:firstRowFirstColumn="0" w:firstRowLastColumn="0" w:lastRowFirstColumn="0" w:lastRowLastColumn="0"/>
            <w:tcW w:w="1635" w:type="dxa"/>
            <w:noWrap/>
          </w:tcPr>
          <w:p w:rsidR="002B1C0C" w:rsidRDefault="002B1C0C" w:rsidP="004B196C">
            <w:r>
              <w:t>60-69</w:t>
            </w:r>
          </w:p>
        </w:tc>
        <w:tc>
          <w:tcPr>
            <w:tcW w:w="1339" w:type="dxa"/>
            <w:noWrap/>
          </w:tcPr>
          <w:p w:rsidR="002B1C0C" w:rsidRDefault="002B1C0C" w:rsidP="004B196C">
            <w:pPr>
              <w:cnfStyle w:val="000000000000" w:firstRow="0" w:lastRow="0" w:firstColumn="0" w:lastColumn="0" w:oddVBand="0" w:evenVBand="0" w:oddHBand="0" w:evenHBand="0" w:firstRowFirstColumn="0" w:firstRowLastColumn="0" w:lastRowFirstColumn="0" w:lastRowLastColumn="0"/>
            </w:pPr>
            <w:r>
              <w:t>9.59</w:t>
            </w:r>
          </w:p>
        </w:tc>
        <w:tc>
          <w:tcPr>
            <w:cnfStyle w:val="000010000000" w:firstRow="0" w:lastRow="0" w:firstColumn="0" w:lastColumn="0" w:oddVBand="1" w:evenVBand="0" w:oddHBand="0" w:evenHBand="0" w:firstRowFirstColumn="0" w:firstRowLastColumn="0" w:lastRowFirstColumn="0" w:lastRowLastColumn="0"/>
            <w:tcW w:w="2797" w:type="dxa"/>
            <w:noWrap/>
          </w:tcPr>
          <w:p w:rsidR="002B1C0C" w:rsidRDefault="002B1C0C" w:rsidP="004B196C">
            <w:r>
              <w:t>9.01</w:t>
            </w:r>
          </w:p>
        </w:tc>
        <w:tc>
          <w:tcPr>
            <w:tcW w:w="1178" w:type="dxa"/>
            <w:vMerge/>
          </w:tcPr>
          <w:p w:rsidR="002B1C0C" w:rsidRDefault="002B1C0C" w:rsidP="004B196C">
            <w:pPr>
              <w:cnfStyle w:val="000000000000" w:firstRow="0" w:lastRow="0" w:firstColumn="0" w:lastColumn="0" w:oddVBand="0" w:evenVBand="0" w:oddHBand="0" w:evenHBand="0" w:firstRowFirstColumn="0" w:firstRowLastColumn="0" w:lastRowFirstColumn="0" w:lastRowLastColumn="0"/>
            </w:pPr>
          </w:p>
        </w:tc>
      </w:tr>
      <w:tr w:rsidR="002B1C0C" w:rsidTr="004B196C">
        <w:trPr>
          <w:cnfStyle w:val="000000100000" w:firstRow="0" w:lastRow="0" w:firstColumn="0" w:lastColumn="0" w:oddVBand="0" w:evenVBand="0" w:oddHBand="1" w:evenHBand="0" w:firstRowFirstColumn="0" w:firstRowLastColumn="0" w:lastRowFirstColumn="0" w:lastRowLastColumn="0"/>
          <w:trHeight w:val="199"/>
          <w:jc w:val="center"/>
        </w:trPr>
        <w:tc>
          <w:tcPr>
            <w:cnfStyle w:val="000010000000" w:firstRow="0" w:lastRow="0" w:firstColumn="0" w:lastColumn="0" w:oddVBand="1" w:evenVBand="0" w:oddHBand="0" w:evenHBand="0" w:firstRowFirstColumn="0" w:firstRowLastColumn="0" w:lastRowFirstColumn="0" w:lastRowLastColumn="0"/>
            <w:tcW w:w="1635" w:type="dxa"/>
            <w:noWrap/>
          </w:tcPr>
          <w:p w:rsidR="002B1C0C" w:rsidRDefault="002B1C0C" w:rsidP="004B196C">
            <w:r>
              <w:t>70 plus</w:t>
            </w:r>
          </w:p>
        </w:tc>
        <w:tc>
          <w:tcPr>
            <w:tcW w:w="1339" w:type="dxa"/>
            <w:noWrap/>
          </w:tcPr>
          <w:p w:rsidR="002B1C0C" w:rsidRDefault="002B1C0C" w:rsidP="004B196C">
            <w:pPr>
              <w:cnfStyle w:val="000000100000" w:firstRow="0" w:lastRow="0" w:firstColumn="0" w:lastColumn="0" w:oddVBand="0" w:evenVBand="0" w:oddHBand="1" w:evenHBand="0" w:firstRowFirstColumn="0" w:firstRowLastColumn="0" w:lastRowFirstColumn="0" w:lastRowLastColumn="0"/>
            </w:pPr>
            <w:r>
              <w:t>8.82</w:t>
            </w:r>
          </w:p>
        </w:tc>
        <w:tc>
          <w:tcPr>
            <w:cnfStyle w:val="000010000000" w:firstRow="0" w:lastRow="0" w:firstColumn="0" w:lastColumn="0" w:oddVBand="1" w:evenVBand="0" w:oddHBand="0" w:evenHBand="0" w:firstRowFirstColumn="0" w:firstRowLastColumn="0" w:lastRowFirstColumn="0" w:lastRowLastColumn="0"/>
            <w:tcW w:w="2797" w:type="dxa"/>
            <w:noWrap/>
          </w:tcPr>
          <w:p w:rsidR="002B1C0C" w:rsidRDefault="002B1C0C" w:rsidP="004B196C">
            <w:r>
              <w:t>7.90</w:t>
            </w:r>
          </w:p>
        </w:tc>
        <w:tc>
          <w:tcPr>
            <w:tcW w:w="1178" w:type="dxa"/>
            <w:vMerge/>
          </w:tcPr>
          <w:p w:rsidR="002B1C0C" w:rsidRDefault="002B1C0C" w:rsidP="004B196C">
            <w:pPr>
              <w:cnfStyle w:val="000000100000" w:firstRow="0" w:lastRow="0" w:firstColumn="0" w:lastColumn="0" w:oddVBand="0" w:evenVBand="0" w:oddHBand="1" w:evenHBand="0" w:firstRowFirstColumn="0" w:firstRowLastColumn="0" w:lastRowFirstColumn="0" w:lastRowLastColumn="0"/>
            </w:pPr>
          </w:p>
        </w:tc>
      </w:tr>
    </w:tbl>
    <w:p w:rsidR="002B1C0C" w:rsidRPr="008446D5" w:rsidRDefault="002B1C0C" w:rsidP="002B1C0C"/>
    <w:p w:rsidR="00C1551B" w:rsidRDefault="00C1551B"/>
    <w:sectPr w:rsidR="00C1551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271" w:rsidRDefault="00761271" w:rsidP="002B1C0C">
      <w:pPr>
        <w:spacing w:after="0" w:line="240" w:lineRule="auto"/>
      </w:pPr>
      <w:r>
        <w:separator/>
      </w:r>
    </w:p>
  </w:endnote>
  <w:endnote w:type="continuationSeparator" w:id="0">
    <w:p w:rsidR="00761271" w:rsidRDefault="00761271" w:rsidP="002B1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jaVu Sans">
    <w:altName w:val="Times New Roman"/>
    <w:charset w:val="00"/>
    <w:family w:val="swiss"/>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271" w:rsidRDefault="00761271" w:rsidP="002B1C0C">
      <w:pPr>
        <w:spacing w:after="0" w:line="240" w:lineRule="auto"/>
      </w:pPr>
      <w:r>
        <w:separator/>
      </w:r>
    </w:p>
  </w:footnote>
  <w:footnote w:type="continuationSeparator" w:id="0">
    <w:p w:rsidR="00761271" w:rsidRDefault="00761271" w:rsidP="002B1C0C">
      <w:pPr>
        <w:spacing w:after="0" w:line="240" w:lineRule="auto"/>
      </w:pPr>
      <w:r>
        <w:continuationSeparator/>
      </w:r>
    </w:p>
  </w:footnote>
  <w:footnote w:id="1">
    <w:p w:rsidR="002B1C0C" w:rsidRPr="00816A09" w:rsidRDefault="002B1C0C" w:rsidP="002B1C0C">
      <w:r w:rsidRPr="000F4852">
        <w:rPr>
          <w:rStyle w:val="FootnoteReference"/>
        </w:rPr>
        <w:footnoteRef/>
      </w:r>
      <w:r>
        <w:rPr>
          <w:sz w:val="20"/>
          <w:szCs w:val="20"/>
        </w:rPr>
        <w:t xml:space="preserve">E-bikes come in different types. Here we are referring to </w:t>
      </w:r>
      <w:proofErr w:type="spellStart"/>
      <w:r>
        <w:rPr>
          <w:sz w:val="20"/>
          <w:szCs w:val="20"/>
        </w:rPr>
        <w:t>Pedelec</w:t>
      </w:r>
      <w:proofErr w:type="spellEnd"/>
      <w:r>
        <w:rPr>
          <w:sz w:val="20"/>
          <w:szCs w:val="20"/>
        </w:rPr>
        <w:t xml:space="preserve"> or pedal assist bikes the most common type of e-bikes in the Netherlands. To use these bikes pedalling is required at all times but different levels of electric assistance are provided.</w:t>
      </w:r>
    </w:p>
  </w:footnote>
  <w:footnote w:id="2">
    <w:p w:rsidR="002B1C0C" w:rsidRPr="00816A09" w:rsidRDefault="002B1C0C" w:rsidP="002B1C0C">
      <w:r w:rsidRPr="00241540">
        <w:rPr>
          <w:rStyle w:val="FootnoteReference"/>
        </w:rPr>
        <w:footnoteRef/>
      </w:r>
      <w:r w:rsidRPr="00111293">
        <w:rPr>
          <w:sz w:val="20"/>
          <w:szCs w:val="20"/>
        </w:rPr>
        <w:t xml:space="preserve"> </w:t>
      </w:r>
      <w:r>
        <w:rPr>
          <w:sz w:val="20"/>
          <w:szCs w:val="20"/>
        </w:rPr>
        <w:t>Some people in the NTS do not have any trips. They are included in the model for estimating population averages, but their lack of travel is assumed as a constant under all scenarios</w:t>
      </w:r>
    </w:p>
  </w:footnote>
  <w:footnote w:id="3">
    <w:p w:rsidR="002B1C0C" w:rsidRPr="001235C8" w:rsidRDefault="002B1C0C" w:rsidP="002B1C0C">
      <w:pPr>
        <w:pStyle w:val="FootnoteText"/>
        <w:jc w:val="both"/>
        <w:rPr>
          <w:rFonts w:asciiTheme="minorHAnsi" w:hAnsiTheme="minorHAnsi"/>
        </w:rPr>
      </w:pPr>
      <w:r w:rsidRPr="001235C8">
        <w:rPr>
          <w:rStyle w:val="FootnoteReference"/>
          <w:rFonts w:asciiTheme="minorHAnsi" w:eastAsia="Calibri" w:hAnsiTheme="minorHAnsi"/>
        </w:rPr>
        <w:footnoteRef/>
      </w:r>
      <w:r w:rsidRPr="001235C8">
        <w:rPr>
          <w:rFonts w:asciiTheme="minorHAnsi" w:hAnsiTheme="minorHAnsi"/>
        </w:rPr>
        <w:t xml:space="preserve"> Due to small cell sizes, data was averaged for younger females cycling 4.5 to 6.5 miles, and cycling 12.5 to 20.5 miles; for older females cycling 3.5 to 5.5 miles, and cycling 6.5 to 12.5 miles;, and for older males cycling 4.5 to 6.5 miles.  Among older males, we also imputed the probability of cycling trips 15.5-20.5 miles based on the probability of cycling trips 15.5-20.5 miles in younger males and the probability of cycling trips 12.5-15.5 miles in older males.</w:t>
      </w:r>
    </w:p>
  </w:footnote>
  <w:footnote w:id="4">
    <w:p w:rsidR="002B1C0C" w:rsidRDefault="002B1C0C" w:rsidP="002B1C0C">
      <w:pPr>
        <w:pStyle w:val="FootnoteText"/>
      </w:pPr>
      <w:r>
        <w:rPr>
          <w:rStyle w:val="FootnoteReference"/>
          <w:rFonts w:eastAsia="Calibri"/>
        </w:rPr>
        <w:footnoteRef/>
      </w:r>
      <w:r>
        <w:t xml:space="preserve"> Due to small cell sizes, data was averaged for trips 3.5 to 5.</w:t>
      </w:r>
      <w:r w:rsidRPr="001125B9">
        <w:t xml:space="preserve">5 miles, and for trips 12.5 to 20.5 miles.  </w:t>
      </w:r>
      <w:r w:rsidRPr="00307C8F">
        <w:t>These data are largely taken from Dutch e-bike owners, with the exception of the four cells marked ‘</w:t>
      </w:r>
      <w:r w:rsidRPr="00307C8F">
        <w:rPr>
          <w:rFonts w:cs="Calibri"/>
          <w:color w:val="000000"/>
        </w:rPr>
        <w:t>†’ in the third column.  In these marked cells, which all relate to trips of &lt;3.5 miles, the values for English adults were used instead.  This decision was taken because we specifically wanted to model the plausible effect of e-bikes in extending the distance that English adults were willing to cycle, rather than any effect that e-bike ownership might have on short trips.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84F2A"/>
    <w:multiLevelType w:val="hybridMultilevel"/>
    <w:tmpl w:val="65AC01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0C"/>
    <w:rsid w:val="000B4666"/>
    <w:rsid w:val="001235C8"/>
    <w:rsid w:val="002B1C0C"/>
    <w:rsid w:val="00311944"/>
    <w:rsid w:val="0038336C"/>
    <w:rsid w:val="003B66FC"/>
    <w:rsid w:val="00573635"/>
    <w:rsid w:val="00593B03"/>
    <w:rsid w:val="005D7CDD"/>
    <w:rsid w:val="00730863"/>
    <w:rsid w:val="00761271"/>
    <w:rsid w:val="00837D8E"/>
    <w:rsid w:val="00B54851"/>
    <w:rsid w:val="00C1551B"/>
    <w:rsid w:val="00C26814"/>
    <w:rsid w:val="00DD71E3"/>
    <w:rsid w:val="00F0320C"/>
    <w:rsid w:val="00F54F54"/>
    <w:rsid w:val="00FB6BE3"/>
    <w:rsid w:val="00FE71EA"/>
    <w:rsid w:val="00FF7E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5AB53C-FB6C-4D1E-BD6F-BFA6B2C0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C0C"/>
    <w:pPr>
      <w:spacing w:after="160" w:line="259" w:lineRule="auto"/>
    </w:pPr>
    <w:rPr>
      <w:rFonts w:ascii="Calibri" w:eastAsia="Calibri" w:hAnsi="Calibri"/>
      <w:sz w:val="24"/>
      <w:szCs w:val="24"/>
      <w:lang w:eastAsia="en-US"/>
    </w:rPr>
  </w:style>
  <w:style w:type="paragraph" w:styleId="Heading4">
    <w:name w:val="heading 4"/>
    <w:basedOn w:val="Normal"/>
    <w:next w:val="Normal"/>
    <w:link w:val="Heading4Char"/>
    <w:unhideWhenUsed/>
    <w:qFormat/>
    <w:rsid w:val="002B1C0C"/>
    <w:pPr>
      <w:keepNext/>
      <w:keepLines/>
      <w:spacing w:before="40" w:after="0"/>
      <w:outlineLvl w:val="3"/>
    </w:pPr>
    <w:rPr>
      <w:rFonts w:ascii="Calibri Light" w:hAnsi="Calibri Light" w:cs="DejaVu Sans"/>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qFormat/>
    <w:rsid w:val="002B1C0C"/>
    <w:rPr>
      <w:rFonts w:ascii="Calibri Light" w:eastAsia="Calibri" w:hAnsi="Calibri Light" w:cs="DejaVu Sans"/>
      <w:i/>
      <w:iCs/>
      <w:color w:val="2E74B5"/>
      <w:sz w:val="24"/>
      <w:szCs w:val="24"/>
      <w:lang w:eastAsia="en-US"/>
    </w:rPr>
  </w:style>
  <w:style w:type="character" w:customStyle="1" w:styleId="FootnoteTextChar">
    <w:name w:val="Footnote Text Char"/>
    <w:basedOn w:val="DefaultParagraphFont"/>
    <w:link w:val="FootnoteText"/>
    <w:uiPriority w:val="99"/>
    <w:qFormat/>
    <w:rsid w:val="002B1C0C"/>
  </w:style>
  <w:style w:type="character" w:styleId="FootnoteReference">
    <w:name w:val="footnote reference"/>
    <w:basedOn w:val="DefaultParagraphFont"/>
    <w:uiPriority w:val="99"/>
    <w:unhideWhenUsed/>
    <w:rsid w:val="002B1C0C"/>
    <w:rPr>
      <w:vertAlign w:val="superscript"/>
    </w:rPr>
  </w:style>
  <w:style w:type="paragraph" w:styleId="Caption">
    <w:name w:val="caption"/>
    <w:basedOn w:val="Normal"/>
    <w:next w:val="Normal"/>
    <w:unhideWhenUsed/>
    <w:qFormat/>
    <w:rsid w:val="002B1C0C"/>
    <w:pPr>
      <w:spacing w:after="200" w:line="240" w:lineRule="auto"/>
    </w:pPr>
    <w:rPr>
      <w:rFonts w:ascii="Times New Roman" w:hAnsi="Times New Roman"/>
      <w:b/>
      <w:iCs/>
      <w:color w:val="1F497D"/>
      <w:sz w:val="20"/>
      <w:szCs w:val="18"/>
      <w:lang w:val="en-US"/>
    </w:rPr>
  </w:style>
  <w:style w:type="paragraph" w:styleId="ListParagraph">
    <w:name w:val="List Paragraph"/>
    <w:basedOn w:val="Normal"/>
    <w:uiPriority w:val="34"/>
    <w:qFormat/>
    <w:rsid w:val="002B1C0C"/>
    <w:pPr>
      <w:ind w:left="720"/>
      <w:contextualSpacing/>
    </w:pPr>
  </w:style>
  <w:style w:type="paragraph" w:styleId="FootnoteText">
    <w:name w:val="footnote text"/>
    <w:basedOn w:val="Normal"/>
    <w:link w:val="FootnoteTextChar"/>
    <w:uiPriority w:val="99"/>
    <w:unhideWhenUsed/>
    <w:rsid w:val="002B1C0C"/>
    <w:pPr>
      <w:spacing w:after="0" w:line="240" w:lineRule="auto"/>
    </w:pPr>
    <w:rPr>
      <w:rFonts w:ascii="Times New Roman" w:eastAsia="Times New Roman" w:hAnsi="Times New Roman"/>
      <w:sz w:val="20"/>
      <w:szCs w:val="20"/>
      <w:lang w:eastAsia="en-GB"/>
    </w:rPr>
  </w:style>
  <w:style w:type="character" w:customStyle="1" w:styleId="FootnoteTextChar1">
    <w:name w:val="Footnote Text Char1"/>
    <w:basedOn w:val="DefaultParagraphFont"/>
    <w:rsid w:val="002B1C0C"/>
    <w:rPr>
      <w:rFonts w:ascii="Calibri" w:eastAsia="Calibri" w:hAnsi="Calibri"/>
      <w:lang w:eastAsia="en-US"/>
    </w:rPr>
  </w:style>
  <w:style w:type="table" w:customStyle="1" w:styleId="ListTable31">
    <w:name w:val="List Table 31"/>
    <w:basedOn w:val="TableNormal"/>
    <w:uiPriority w:val="48"/>
    <w:rsid w:val="002B1C0C"/>
    <w:rPr>
      <w:rFonts w:ascii="Calibri" w:eastAsia="Calibri" w:hAnsi="Calibr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Abbas</dc:creator>
  <cp:keywords/>
  <dc:description/>
  <cp:lastModifiedBy>James Woodcock</cp:lastModifiedBy>
  <cp:revision>2</cp:revision>
  <dcterms:created xsi:type="dcterms:W3CDTF">2018-07-23T16:30:00Z</dcterms:created>
  <dcterms:modified xsi:type="dcterms:W3CDTF">2018-07-23T16:30:00Z</dcterms:modified>
</cp:coreProperties>
</file>