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FC80" w14:textId="77777777" w:rsidR="00FC0E22" w:rsidRPr="00A63F52" w:rsidRDefault="00FC0E22" w:rsidP="00E5176A">
      <w:pPr>
        <w:pStyle w:val="Heading1"/>
        <w:spacing w:line="240" w:lineRule="auto"/>
      </w:pPr>
      <w:bookmarkStart w:id="0" w:name="_Toc512842451"/>
      <w:bookmarkStart w:id="1" w:name="_GoBack"/>
      <w:bookmarkEnd w:id="1"/>
      <w:r w:rsidRPr="00AB7338">
        <w:t>S</w:t>
      </w:r>
      <w:r>
        <w:t>2</w:t>
      </w:r>
      <w:r w:rsidRPr="00AB7338">
        <w:t xml:space="preserve"> Table. Adjusted HRs for acute pancreatitis by adiposity</w:t>
      </w:r>
      <w:bookmarkEnd w:id="0"/>
      <w:r w:rsidRPr="00A63F52">
        <w:t xml:space="preserve"> </w:t>
      </w:r>
    </w:p>
    <w:p w14:paraId="593B95FC" w14:textId="77777777" w:rsidR="00FC0E22" w:rsidRPr="00A63F52" w:rsidRDefault="00FC0E22" w:rsidP="00FC0E22">
      <w:pPr>
        <w:spacing w:after="0"/>
        <w:contextualSpacing/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4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980"/>
        <w:gridCol w:w="1976"/>
        <w:gridCol w:w="2466"/>
        <w:gridCol w:w="1770"/>
        <w:gridCol w:w="2341"/>
        <w:gridCol w:w="1895"/>
      </w:tblGrid>
      <w:tr w:rsidR="00FC0E22" w:rsidRPr="00A63F52" w14:paraId="3529FD9E" w14:textId="77777777" w:rsidTr="00624D2D">
        <w:trPr>
          <w:trHeight w:val="53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5DF5DC6E" w14:textId="77777777" w:rsidR="00FC0E22" w:rsidRPr="00A63F52" w:rsidRDefault="00FC0E22" w:rsidP="00624D2D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 w:rsidRPr="00A63F52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Variable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1659C7" w14:textId="77777777" w:rsidR="00FC0E22" w:rsidRPr="00A63F52" w:rsidRDefault="00FC0E22" w:rsidP="00624D2D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A63F5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>No. events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407EFDC3" w14:textId="77777777" w:rsidR="00FC0E22" w:rsidRDefault="00FC0E22" w:rsidP="00624D2D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A63F5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 xml:space="preserve">Rate </w:t>
            </w:r>
          </w:p>
          <w:p w14:paraId="62D9ECD7" w14:textId="77777777" w:rsidR="00FC0E22" w:rsidRPr="00A63F52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A63F52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22"/>
                <w:lang w:val="en-GB"/>
              </w:rPr>
              <w:t>per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 xml:space="preserve"> 100,000 PY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5D5FED7D" w14:textId="77777777" w:rsidR="00FC0E22" w:rsidRPr="00A63F52" w:rsidRDefault="00FC0E22" w:rsidP="00624D2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 w:rsidRPr="00A63F52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HR1 (95% CI)</w:t>
            </w:r>
            <w:r w:rsidRPr="00A63F52">
              <w:rPr>
                <w:rFonts w:ascii="Arial" w:hAnsi="Arial" w:cs="Arial"/>
                <w:b/>
                <w:color w:val="000000" w:themeColor="text1"/>
                <w:sz w:val="22"/>
                <w:vertAlign w:val="superscript"/>
                <w:lang w:val="en-GB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4426B824" w14:textId="77777777" w:rsidR="00FC0E22" w:rsidRPr="00A63F52" w:rsidRDefault="00FC0E22" w:rsidP="00624D2D">
            <w:pPr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444E32">
              <w:rPr>
                <w:rFonts w:ascii="Arial" w:hAnsi="Arial" w:cs="Arial"/>
                <w:b/>
                <w:i/>
                <w:color w:val="000000" w:themeColor="text1"/>
                <w:lang w:val="en-GB"/>
              </w:rPr>
              <w:t>p</w:t>
            </w:r>
            <w:r w:rsidRPr="00A63F52">
              <w:rPr>
                <w:rFonts w:ascii="Arial" w:hAnsi="Arial" w:cs="Arial"/>
                <w:b/>
                <w:color w:val="000000" w:themeColor="text1"/>
                <w:lang w:val="en-GB"/>
              </w:rPr>
              <w:t>-value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14:paraId="1C730DDA" w14:textId="77777777" w:rsidR="00FC0E22" w:rsidRPr="00A63F52" w:rsidRDefault="00FC0E22" w:rsidP="00624D2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 w:rsidRPr="00A63F52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HR2 (95% CI)</w:t>
            </w:r>
            <w:r w:rsidRPr="00A63F52">
              <w:rPr>
                <w:rFonts w:ascii="Arial" w:hAnsi="Arial" w:cs="Arial"/>
                <w:b/>
                <w:color w:val="000000" w:themeColor="text1"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04E736B2" w14:textId="77777777" w:rsidR="00FC0E22" w:rsidRPr="00A63F52" w:rsidRDefault="00FC0E22" w:rsidP="00624D2D">
            <w:pPr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444E32">
              <w:rPr>
                <w:rFonts w:ascii="Arial" w:hAnsi="Arial" w:cs="Arial"/>
                <w:b/>
                <w:i/>
                <w:color w:val="000000" w:themeColor="text1"/>
                <w:lang w:val="en-GB"/>
              </w:rPr>
              <w:t>p</w:t>
            </w:r>
            <w:r w:rsidRPr="00A63F52">
              <w:rPr>
                <w:rFonts w:ascii="Arial" w:hAnsi="Arial" w:cs="Arial"/>
                <w:b/>
                <w:color w:val="000000" w:themeColor="text1"/>
                <w:lang w:val="en-GB"/>
              </w:rPr>
              <w:t>-value</w:t>
            </w:r>
          </w:p>
        </w:tc>
      </w:tr>
      <w:tr w:rsidR="00FC0E22" w:rsidRPr="00084449" w14:paraId="46221A5F" w14:textId="77777777" w:rsidTr="00624D2D">
        <w:trPr>
          <w:trHeight w:val="243"/>
        </w:trPr>
        <w:tc>
          <w:tcPr>
            <w:tcW w:w="1908" w:type="dxa"/>
            <w:vAlign w:val="bottom"/>
          </w:tcPr>
          <w:p w14:paraId="26F35DA8" w14:textId="77777777" w:rsidR="00FC0E22" w:rsidRPr="00084449" w:rsidRDefault="00FC0E22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>BMI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 xml:space="preserve"> (kg/m</w:t>
            </w:r>
            <w:r w:rsidRPr="003A1DC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vertAlign w:val="superscript"/>
                <w:lang w:val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>)</w:t>
            </w:r>
          </w:p>
        </w:tc>
        <w:tc>
          <w:tcPr>
            <w:tcW w:w="1980" w:type="dxa"/>
          </w:tcPr>
          <w:p w14:paraId="615CC5E7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1976" w:type="dxa"/>
            <w:vAlign w:val="bottom"/>
          </w:tcPr>
          <w:p w14:paraId="3F2120E2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466" w:type="dxa"/>
            <w:vAlign w:val="bottom"/>
          </w:tcPr>
          <w:p w14:paraId="74F76281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1770" w:type="dxa"/>
          </w:tcPr>
          <w:p w14:paraId="518AD7FD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341" w:type="dxa"/>
          </w:tcPr>
          <w:p w14:paraId="568CD8C1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1895" w:type="dxa"/>
          </w:tcPr>
          <w:p w14:paraId="746447C4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</w:tr>
      <w:tr w:rsidR="00FC0E22" w:rsidRPr="00084449" w14:paraId="20DEC405" w14:textId="77777777" w:rsidTr="00624D2D">
        <w:trPr>
          <w:trHeight w:val="243"/>
        </w:trPr>
        <w:tc>
          <w:tcPr>
            <w:tcW w:w="1908" w:type="dxa"/>
            <w:vAlign w:val="bottom"/>
          </w:tcPr>
          <w:p w14:paraId="255A8535" w14:textId="77777777" w:rsidR="00FC0E22" w:rsidRPr="00084449" w:rsidRDefault="00FC0E22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&lt;20.0</w:t>
            </w:r>
          </w:p>
        </w:tc>
        <w:tc>
          <w:tcPr>
            <w:tcW w:w="1980" w:type="dxa"/>
          </w:tcPr>
          <w:p w14:paraId="1CB4FBCD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111</w:t>
            </w:r>
          </w:p>
        </w:tc>
        <w:tc>
          <w:tcPr>
            <w:tcW w:w="1976" w:type="dxa"/>
            <w:vAlign w:val="bottom"/>
          </w:tcPr>
          <w:p w14:paraId="662CAE21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19.3</w:t>
            </w:r>
          </w:p>
        </w:tc>
        <w:tc>
          <w:tcPr>
            <w:tcW w:w="2466" w:type="dxa"/>
            <w:vAlign w:val="bottom"/>
          </w:tcPr>
          <w:p w14:paraId="5B210CD7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0.91</w:t>
            </w:r>
            <w:r w:rsidRPr="00084449">
              <w:rPr>
                <w:rFonts w:ascii="Arial" w:hAnsi="Arial" w:cs="Arial"/>
                <w:color w:val="000000" w:themeColor="text1"/>
                <w:sz w:val="22"/>
              </w:rPr>
              <w:t xml:space="preserve"> (0.75, 1.10)</w:t>
            </w:r>
          </w:p>
        </w:tc>
        <w:tc>
          <w:tcPr>
            <w:tcW w:w="1770" w:type="dxa"/>
          </w:tcPr>
          <w:p w14:paraId="1DF680AE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0.39</w:t>
            </w:r>
          </w:p>
        </w:tc>
        <w:tc>
          <w:tcPr>
            <w:tcW w:w="2341" w:type="dxa"/>
            <w:vAlign w:val="bottom"/>
          </w:tcPr>
          <w:p w14:paraId="14B34E42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0.91 (0.75, 1.10)</w:t>
            </w:r>
          </w:p>
        </w:tc>
        <w:tc>
          <w:tcPr>
            <w:tcW w:w="1895" w:type="dxa"/>
          </w:tcPr>
          <w:p w14:paraId="3DCDF28C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0.41</w:t>
            </w:r>
          </w:p>
        </w:tc>
      </w:tr>
      <w:tr w:rsidR="00FC0E22" w:rsidRPr="00084449" w14:paraId="4FF39E37" w14:textId="77777777" w:rsidTr="00624D2D">
        <w:trPr>
          <w:trHeight w:val="243"/>
        </w:trPr>
        <w:tc>
          <w:tcPr>
            <w:tcW w:w="1908" w:type="dxa"/>
            <w:vAlign w:val="bottom"/>
          </w:tcPr>
          <w:p w14:paraId="1D12C185" w14:textId="304E9748" w:rsidR="00FC0E22" w:rsidRPr="00084449" w:rsidRDefault="007671F0" w:rsidP="00624D2D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20.0 &lt;</w:t>
            </w:r>
            <w:r w:rsidR="00FC0E22"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22.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5</w:t>
            </w:r>
          </w:p>
        </w:tc>
        <w:tc>
          <w:tcPr>
            <w:tcW w:w="1980" w:type="dxa"/>
          </w:tcPr>
          <w:p w14:paraId="7396CCA7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221</w:t>
            </w:r>
          </w:p>
        </w:tc>
        <w:tc>
          <w:tcPr>
            <w:tcW w:w="1976" w:type="dxa"/>
            <w:vAlign w:val="bottom"/>
          </w:tcPr>
          <w:p w14:paraId="7B360B7D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18.6</w:t>
            </w:r>
          </w:p>
        </w:tc>
        <w:tc>
          <w:tcPr>
            <w:tcW w:w="2466" w:type="dxa"/>
            <w:vAlign w:val="bottom"/>
          </w:tcPr>
          <w:p w14:paraId="6363BF1B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1.00 (0.87, 1.14)</w:t>
            </w:r>
          </w:p>
        </w:tc>
        <w:tc>
          <w:tcPr>
            <w:tcW w:w="1770" w:type="dxa"/>
          </w:tcPr>
          <w:p w14:paraId="04A76307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2341" w:type="dxa"/>
            <w:vAlign w:val="bottom"/>
          </w:tcPr>
          <w:p w14:paraId="248EAC75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1.00 (0.87, 1.14)</w:t>
            </w:r>
          </w:p>
        </w:tc>
        <w:tc>
          <w:tcPr>
            <w:tcW w:w="1895" w:type="dxa"/>
          </w:tcPr>
          <w:p w14:paraId="107ABEBA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</w:tr>
      <w:tr w:rsidR="00FC0E22" w:rsidRPr="00084449" w14:paraId="67DC7EE9" w14:textId="77777777" w:rsidTr="00624D2D">
        <w:trPr>
          <w:trHeight w:val="243"/>
        </w:trPr>
        <w:tc>
          <w:tcPr>
            <w:tcW w:w="1908" w:type="dxa"/>
            <w:vAlign w:val="bottom"/>
          </w:tcPr>
          <w:p w14:paraId="50098A1B" w14:textId="1577DA83" w:rsidR="00FC0E22" w:rsidRPr="00084449" w:rsidRDefault="007671F0" w:rsidP="00624D2D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22.5 to &lt;25</w:t>
            </w:r>
            <w:r w:rsidR="00FC0E22"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0</w:t>
            </w:r>
          </w:p>
        </w:tc>
        <w:tc>
          <w:tcPr>
            <w:tcW w:w="1980" w:type="dxa"/>
          </w:tcPr>
          <w:p w14:paraId="19041DC1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293</w:t>
            </w:r>
          </w:p>
        </w:tc>
        <w:tc>
          <w:tcPr>
            <w:tcW w:w="1976" w:type="dxa"/>
            <w:vAlign w:val="bottom"/>
          </w:tcPr>
          <w:p w14:paraId="4DF636D3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22.3</w:t>
            </w:r>
          </w:p>
        </w:tc>
        <w:tc>
          <w:tcPr>
            <w:tcW w:w="2466" w:type="dxa"/>
            <w:vAlign w:val="bottom"/>
          </w:tcPr>
          <w:p w14:paraId="79A221F4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1.27 (1.13, 1.42)</w:t>
            </w:r>
          </w:p>
        </w:tc>
        <w:tc>
          <w:tcPr>
            <w:tcW w:w="1770" w:type="dxa"/>
            <w:vAlign w:val="bottom"/>
          </w:tcPr>
          <w:p w14:paraId="5BFD7DA8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0.01</w:t>
            </w:r>
          </w:p>
        </w:tc>
        <w:tc>
          <w:tcPr>
            <w:tcW w:w="2341" w:type="dxa"/>
            <w:vAlign w:val="bottom"/>
          </w:tcPr>
          <w:p w14:paraId="26CA8527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1.27 (1.13, 1.42)</w:t>
            </w:r>
          </w:p>
        </w:tc>
        <w:tc>
          <w:tcPr>
            <w:tcW w:w="1895" w:type="dxa"/>
            <w:vAlign w:val="bottom"/>
          </w:tcPr>
          <w:p w14:paraId="4262EAF5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0.01</w:t>
            </w:r>
          </w:p>
        </w:tc>
      </w:tr>
      <w:tr w:rsidR="00FC0E22" w:rsidRPr="00084449" w14:paraId="50CE56CD" w14:textId="77777777" w:rsidTr="00624D2D">
        <w:trPr>
          <w:trHeight w:val="243"/>
        </w:trPr>
        <w:tc>
          <w:tcPr>
            <w:tcW w:w="1908" w:type="dxa"/>
            <w:vAlign w:val="bottom"/>
          </w:tcPr>
          <w:p w14:paraId="10FD9C8B" w14:textId="0132AEB2" w:rsidR="00FC0E22" w:rsidRPr="00084449" w:rsidRDefault="007671F0" w:rsidP="00624D2D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25.0 to &lt;27</w:t>
            </w:r>
            <w:r w:rsidR="00FC0E22"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0</w:t>
            </w:r>
          </w:p>
        </w:tc>
        <w:tc>
          <w:tcPr>
            <w:tcW w:w="1980" w:type="dxa"/>
          </w:tcPr>
          <w:p w14:paraId="6C6B498C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212</w:t>
            </w:r>
          </w:p>
        </w:tc>
        <w:tc>
          <w:tcPr>
            <w:tcW w:w="1976" w:type="dxa"/>
            <w:vAlign w:val="bottom"/>
          </w:tcPr>
          <w:p w14:paraId="6AF183E1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27.3</w:t>
            </w:r>
          </w:p>
        </w:tc>
        <w:tc>
          <w:tcPr>
            <w:tcW w:w="2466" w:type="dxa"/>
            <w:vAlign w:val="bottom"/>
          </w:tcPr>
          <w:p w14:paraId="4E5D510A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1.61 (1.41, 1.85)</w:t>
            </w:r>
          </w:p>
        </w:tc>
        <w:tc>
          <w:tcPr>
            <w:tcW w:w="1770" w:type="dxa"/>
            <w:vAlign w:val="bottom"/>
          </w:tcPr>
          <w:p w14:paraId="6CFAC1AD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  <w:tc>
          <w:tcPr>
            <w:tcW w:w="2341" w:type="dxa"/>
            <w:vAlign w:val="bottom"/>
          </w:tcPr>
          <w:p w14:paraId="6AE4E9E7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1.60 (1.40, 1.83)</w:t>
            </w:r>
          </w:p>
        </w:tc>
        <w:tc>
          <w:tcPr>
            <w:tcW w:w="1895" w:type="dxa"/>
            <w:vAlign w:val="bottom"/>
          </w:tcPr>
          <w:p w14:paraId="6AEE3E06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FC0E22" w:rsidRPr="00084449" w14:paraId="59EEC535" w14:textId="77777777" w:rsidTr="00624D2D">
        <w:trPr>
          <w:trHeight w:val="243"/>
        </w:trPr>
        <w:tc>
          <w:tcPr>
            <w:tcW w:w="1908" w:type="dxa"/>
            <w:vAlign w:val="bottom"/>
          </w:tcPr>
          <w:p w14:paraId="16E4E299" w14:textId="77777777" w:rsidR="00FC0E22" w:rsidRPr="00084449" w:rsidRDefault="00FC0E22" w:rsidP="00624D2D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</w:t>
            </w: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≥</w:t>
            </w: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27.0</w:t>
            </w:r>
          </w:p>
        </w:tc>
        <w:tc>
          <w:tcPr>
            <w:tcW w:w="1980" w:type="dxa"/>
          </w:tcPr>
          <w:p w14:paraId="65D5BF2D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242</w:t>
            </w:r>
          </w:p>
        </w:tc>
        <w:tc>
          <w:tcPr>
            <w:tcW w:w="1976" w:type="dxa"/>
            <w:vAlign w:val="bottom"/>
          </w:tcPr>
          <w:p w14:paraId="54141902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32.2</w:t>
            </w:r>
          </w:p>
        </w:tc>
        <w:tc>
          <w:tcPr>
            <w:tcW w:w="2466" w:type="dxa"/>
            <w:vAlign w:val="bottom"/>
          </w:tcPr>
          <w:p w14:paraId="22103EA4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1.96 (1.72, 2.24)</w:t>
            </w:r>
          </w:p>
        </w:tc>
        <w:tc>
          <w:tcPr>
            <w:tcW w:w="1770" w:type="dxa"/>
            <w:vAlign w:val="bottom"/>
          </w:tcPr>
          <w:p w14:paraId="643FD60B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  <w:tc>
          <w:tcPr>
            <w:tcW w:w="2341" w:type="dxa"/>
            <w:vAlign w:val="bottom"/>
          </w:tcPr>
          <w:p w14:paraId="0003543E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1.94 (1.70, 2.22)</w:t>
            </w:r>
          </w:p>
        </w:tc>
        <w:tc>
          <w:tcPr>
            <w:tcW w:w="1895" w:type="dxa"/>
            <w:vAlign w:val="bottom"/>
          </w:tcPr>
          <w:p w14:paraId="1AC385C0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FC0E22" w:rsidRPr="00084449" w14:paraId="06F47EAF" w14:textId="77777777" w:rsidTr="00624D2D">
        <w:trPr>
          <w:trHeight w:val="243"/>
        </w:trPr>
        <w:tc>
          <w:tcPr>
            <w:tcW w:w="1908" w:type="dxa"/>
            <w:vAlign w:val="bottom"/>
          </w:tcPr>
          <w:p w14:paraId="38105B3B" w14:textId="4CC0B332" w:rsidR="00FC0E22" w:rsidRPr="00084449" w:rsidRDefault="00CB4844" w:rsidP="00624D2D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per 1-</w:t>
            </w:r>
            <w:r w:rsidR="00FC0E22"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SD</w:t>
            </w:r>
          </w:p>
        </w:tc>
        <w:tc>
          <w:tcPr>
            <w:tcW w:w="1980" w:type="dxa"/>
          </w:tcPr>
          <w:p w14:paraId="6688C7D7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1976" w:type="dxa"/>
            <w:vAlign w:val="bottom"/>
          </w:tcPr>
          <w:p w14:paraId="2867620B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2466" w:type="dxa"/>
            <w:vAlign w:val="bottom"/>
          </w:tcPr>
          <w:p w14:paraId="2128F8CB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1.31 (1.24, 1.39)</w:t>
            </w:r>
          </w:p>
        </w:tc>
        <w:tc>
          <w:tcPr>
            <w:tcW w:w="1770" w:type="dxa"/>
            <w:vAlign w:val="bottom"/>
          </w:tcPr>
          <w:p w14:paraId="3BDD5173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  <w:tc>
          <w:tcPr>
            <w:tcW w:w="2341" w:type="dxa"/>
            <w:vAlign w:val="bottom"/>
          </w:tcPr>
          <w:p w14:paraId="348A6A1E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1.31 (1.23, 1.39)</w:t>
            </w:r>
          </w:p>
        </w:tc>
        <w:tc>
          <w:tcPr>
            <w:tcW w:w="1895" w:type="dxa"/>
            <w:vAlign w:val="bottom"/>
          </w:tcPr>
          <w:p w14:paraId="3D15C35C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FC0E22" w:rsidRPr="00084449" w14:paraId="50A826A2" w14:textId="77777777" w:rsidTr="00624D2D">
        <w:trPr>
          <w:trHeight w:val="243"/>
        </w:trPr>
        <w:tc>
          <w:tcPr>
            <w:tcW w:w="1908" w:type="dxa"/>
            <w:shd w:val="clear" w:color="auto" w:fill="auto"/>
            <w:vAlign w:val="bottom"/>
          </w:tcPr>
          <w:p w14:paraId="6CACC661" w14:textId="40F7F1FF" w:rsidR="00FC0E22" w:rsidRPr="00084449" w:rsidRDefault="00CB4844" w:rsidP="00624D2D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per 1-</w:t>
            </w:r>
            <w:r w:rsidR="00FC0E22"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SD</w:t>
            </w:r>
            <w:r w:rsidR="00FC0E22"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3B436A07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244772E0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2466" w:type="dxa"/>
            <w:shd w:val="clear" w:color="auto" w:fill="auto"/>
            <w:vAlign w:val="bottom"/>
          </w:tcPr>
          <w:p w14:paraId="640EB72A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1.09 (0.97, 1.27)</w:t>
            </w:r>
          </w:p>
        </w:tc>
        <w:tc>
          <w:tcPr>
            <w:tcW w:w="1770" w:type="dxa"/>
            <w:shd w:val="clear" w:color="auto" w:fill="auto"/>
          </w:tcPr>
          <w:p w14:paraId="2395C484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0.13</w:t>
            </w:r>
          </w:p>
        </w:tc>
        <w:tc>
          <w:tcPr>
            <w:tcW w:w="2341" w:type="dxa"/>
            <w:shd w:val="clear" w:color="auto" w:fill="auto"/>
          </w:tcPr>
          <w:p w14:paraId="43A0B1E7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1895" w:type="dxa"/>
            <w:shd w:val="clear" w:color="auto" w:fill="auto"/>
          </w:tcPr>
          <w:p w14:paraId="06D5BC5E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0.10</w:t>
            </w:r>
          </w:p>
        </w:tc>
      </w:tr>
      <w:tr w:rsidR="00FC0E22" w:rsidRPr="00084449" w14:paraId="6DE10C65" w14:textId="77777777" w:rsidTr="00624D2D">
        <w:trPr>
          <w:trHeight w:val="243"/>
        </w:trPr>
        <w:tc>
          <w:tcPr>
            <w:tcW w:w="1908" w:type="dxa"/>
            <w:shd w:val="clear" w:color="auto" w:fill="auto"/>
            <w:vAlign w:val="bottom"/>
          </w:tcPr>
          <w:p w14:paraId="5DDEEF70" w14:textId="77777777" w:rsidR="00FC0E22" w:rsidRPr="00084449" w:rsidRDefault="00FC0E22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4C948CAE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79E5C5C0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466" w:type="dxa"/>
            <w:shd w:val="clear" w:color="auto" w:fill="auto"/>
            <w:vAlign w:val="bottom"/>
          </w:tcPr>
          <w:p w14:paraId="7EE04F15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1770" w:type="dxa"/>
            <w:shd w:val="clear" w:color="auto" w:fill="auto"/>
          </w:tcPr>
          <w:p w14:paraId="7E46CE0A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341" w:type="dxa"/>
            <w:shd w:val="clear" w:color="auto" w:fill="auto"/>
          </w:tcPr>
          <w:p w14:paraId="7D5B47BF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1895" w:type="dxa"/>
            <w:shd w:val="clear" w:color="auto" w:fill="auto"/>
          </w:tcPr>
          <w:p w14:paraId="31DC5CCE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</w:tr>
      <w:tr w:rsidR="00FC0E22" w:rsidRPr="00084449" w14:paraId="55F8D111" w14:textId="77777777" w:rsidTr="00624D2D">
        <w:trPr>
          <w:trHeight w:val="243"/>
        </w:trPr>
        <w:tc>
          <w:tcPr>
            <w:tcW w:w="1908" w:type="dxa"/>
            <w:shd w:val="clear" w:color="auto" w:fill="auto"/>
            <w:vAlign w:val="bottom"/>
          </w:tcPr>
          <w:p w14:paraId="6DA57C6B" w14:textId="77777777" w:rsidR="00FC0E22" w:rsidRPr="00084449" w:rsidRDefault="00FC0E22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>WC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 xml:space="preserve"> (cm)</w:t>
            </w:r>
          </w:p>
        </w:tc>
        <w:tc>
          <w:tcPr>
            <w:tcW w:w="1980" w:type="dxa"/>
            <w:shd w:val="clear" w:color="auto" w:fill="auto"/>
          </w:tcPr>
          <w:p w14:paraId="00A30D49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14:paraId="0A41591A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466" w:type="dxa"/>
            <w:shd w:val="clear" w:color="auto" w:fill="auto"/>
            <w:vAlign w:val="bottom"/>
          </w:tcPr>
          <w:p w14:paraId="0803FB0A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1770" w:type="dxa"/>
            <w:shd w:val="clear" w:color="auto" w:fill="auto"/>
          </w:tcPr>
          <w:p w14:paraId="1BC25D47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341" w:type="dxa"/>
            <w:shd w:val="clear" w:color="auto" w:fill="auto"/>
          </w:tcPr>
          <w:p w14:paraId="0A813630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1895" w:type="dxa"/>
            <w:shd w:val="clear" w:color="auto" w:fill="auto"/>
          </w:tcPr>
          <w:p w14:paraId="1A0892EA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</w:tr>
      <w:tr w:rsidR="00FC0E22" w:rsidRPr="00084449" w14:paraId="40E89883" w14:textId="77777777" w:rsidTr="00624D2D">
        <w:trPr>
          <w:trHeight w:val="288"/>
        </w:trPr>
        <w:tc>
          <w:tcPr>
            <w:tcW w:w="1908" w:type="dxa"/>
            <w:shd w:val="clear" w:color="auto" w:fill="auto"/>
            <w:vAlign w:val="bottom"/>
          </w:tcPr>
          <w:p w14:paraId="45796842" w14:textId="77777777" w:rsidR="00FC0E22" w:rsidRPr="00084449" w:rsidRDefault="00FC0E22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&lt;71.7</w:t>
            </w:r>
          </w:p>
        </w:tc>
        <w:tc>
          <w:tcPr>
            <w:tcW w:w="1980" w:type="dxa"/>
            <w:shd w:val="clear" w:color="auto" w:fill="auto"/>
          </w:tcPr>
          <w:p w14:paraId="5DA17D7F" w14:textId="77777777" w:rsidR="00FC0E22" w:rsidRPr="00084449" w:rsidRDefault="00FC0E22" w:rsidP="00624D2D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148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175862F5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16.0</w:t>
            </w:r>
          </w:p>
        </w:tc>
        <w:tc>
          <w:tcPr>
            <w:tcW w:w="2466" w:type="dxa"/>
            <w:shd w:val="clear" w:color="auto" w:fill="auto"/>
            <w:vAlign w:val="bottom"/>
          </w:tcPr>
          <w:p w14:paraId="34D9011C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0.73 (0.62, 0.87)</w:t>
            </w:r>
          </w:p>
        </w:tc>
        <w:tc>
          <w:tcPr>
            <w:tcW w:w="1770" w:type="dxa"/>
            <w:shd w:val="clear" w:color="auto" w:fill="auto"/>
          </w:tcPr>
          <w:p w14:paraId="040C5A2E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0.01</w:t>
            </w:r>
          </w:p>
        </w:tc>
        <w:tc>
          <w:tcPr>
            <w:tcW w:w="2341" w:type="dxa"/>
            <w:shd w:val="clear" w:color="auto" w:fill="auto"/>
            <w:vAlign w:val="bottom"/>
          </w:tcPr>
          <w:p w14:paraId="68EC435E" w14:textId="77777777" w:rsidR="00FC0E22" w:rsidRPr="00084449" w:rsidRDefault="00FC0E22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0.74 (0.62, 0.87)</w:t>
            </w:r>
          </w:p>
        </w:tc>
        <w:tc>
          <w:tcPr>
            <w:tcW w:w="1895" w:type="dxa"/>
            <w:shd w:val="clear" w:color="auto" w:fill="auto"/>
          </w:tcPr>
          <w:p w14:paraId="4AE150E1" w14:textId="77777777" w:rsidR="00FC0E22" w:rsidRPr="00084449" w:rsidRDefault="00FC0E22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0.01</w:t>
            </w:r>
          </w:p>
        </w:tc>
      </w:tr>
      <w:tr w:rsidR="00FC0E22" w:rsidRPr="00084449" w14:paraId="0B81EEBB" w14:textId="77777777" w:rsidTr="00624D2D">
        <w:trPr>
          <w:trHeight w:val="288"/>
        </w:trPr>
        <w:tc>
          <w:tcPr>
            <w:tcW w:w="1908" w:type="dxa"/>
            <w:shd w:val="clear" w:color="auto" w:fill="auto"/>
            <w:vAlign w:val="bottom"/>
          </w:tcPr>
          <w:p w14:paraId="362FAC16" w14:textId="09D161B5" w:rsidR="00FC0E22" w:rsidRPr="00084449" w:rsidRDefault="007671F0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71.7 to &lt;77</w:t>
            </w:r>
            <w:r w:rsidR="00FC0E22"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5DE9A14E" w14:textId="77777777" w:rsidR="00FC0E22" w:rsidRPr="00084449" w:rsidRDefault="00FC0E22" w:rsidP="00624D2D">
            <w:pPr>
              <w:jc w:val="right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176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66DE1AF4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19,8  </w:t>
            </w:r>
          </w:p>
        </w:tc>
        <w:tc>
          <w:tcPr>
            <w:tcW w:w="2466" w:type="dxa"/>
            <w:shd w:val="clear" w:color="auto" w:fill="auto"/>
            <w:vAlign w:val="bottom"/>
          </w:tcPr>
          <w:p w14:paraId="71BCF8E0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1.00 (0.86, 1.16)</w:t>
            </w:r>
          </w:p>
        </w:tc>
        <w:tc>
          <w:tcPr>
            <w:tcW w:w="1770" w:type="dxa"/>
            <w:shd w:val="clear" w:color="auto" w:fill="auto"/>
          </w:tcPr>
          <w:p w14:paraId="79A49B56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2341" w:type="dxa"/>
            <w:shd w:val="clear" w:color="auto" w:fill="auto"/>
            <w:vAlign w:val="bottom"/>
          </w:tcPr>
          <w:p w14:paraId="3AE83D16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1.00 (0.86, 1.16)</w:t>
            </w:r>
          </w:p>
        </w:tc>
        <w:tc>
          <w:tcPr>
            <w:tcW w:w="1895" w:type="dxa"/>
            <w:shd w:val="clear" w:color="auto" w:fill="auto"/>
          </w:tcPr>
          <w:p w14:paraId="7A7C3ECB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</w:tr>
      <w:tr w:rsidR="00FC0E22" w:rsidRPr="00084449" w14:paraId="41CF1CAF" w14:textId="77777777" w:rsidTr="00624D2D">
        <w:trPr>
          <w:trHeight w:val="288"/>
        </w:trPr>
        <w:tc>
          <w:tcPr>
            <w:tcW w:w="1908" w:type="dxa"/>
            <w:shd w:val="clear" w:color="auto" w:fill="auto"/>
            <w:vAlign w:val="bottom"/>
          </w:tcPr>
          <w:p w14:paraId="12B02E83" w14:textId="35309BD7" w:rsidR="00FC0E22" w:rsidRPr="00084449" w:rsidRDefault="007671F0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77.0 to &lt;</w:t>
            </w:r>
            <w:r w:rsidR="00FC0E22"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82.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0BF5225F" w14:textId="77777777" w:rsidR="00FC0E22" w:rsidRPr="00084449" w:rsidRDefault="00FC0E22" w:rsidP="00624D2D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215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563454A0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22.5</w:t>
            </w:r>
          </w:p>
        </w:tc>
        <w:tc>
          <w:tcPr>
            <w:tcW w:w="2466" w:type="dxa"/>
            <w:shd w:val="clear" w:color="auto" w:fill="auto"/>
            <w:vAlign w:val="bottom"/>
          </w:tcPr>
          <w:p w14:paraId="309F6E38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1.17 (1.02, 1.33)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6F5429FD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0.13</w:t>
            </w:r>
          </w:p>
        </w:tc>
        <w:tc>
          <w:tcPr>
            <w:tcW w:w="2341" w:type="dxa"/>
            <w:shd w:val="clear" w:color="auto" w:fill="auto"/>
            <w:vAlign w:val="bottom"/>
          </w:tcPr>
          <w:p w14:paraId="0ADBD257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1.16 (1.02, 1.33)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2E20F7CC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0.14</w:t>
            </w:r>
          </w:p>
        </w:tc>
      </w:tr>
      <w:tr w:rsidR="00FC0E22" w:rsidRPr="00084449" w14:paraId="07F35106" w14:textId="77777777" w:rsidTr="00624D2D">
        <w:trPr>
          <w:trHeight w:val="243"/>
        </w:trPr>
        <w:tc>
          <w:tcPr>
            <w:tcW w:w="1908" w:type="dxa"/>
            <w:shd w:val="clear" w:color="auto" w:fill="auto"/>
            <w:vAlign w:val="bottom"/>
          </w:tcPr>
          <w:p w14:paraId="418C3BAB" w14:textId="00059A85" w:rsidR="00FC0E22" w:rsidRPr="00084449" w:rsidRDefault="007671F0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82.2 to &lt;</w:t>
            </w:r>
            <w:r w:rsidR="00FC0E22"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88.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3BD9DDA6" w14:textId="77777777" w:rsidR="00FC0E22" w:rsidRPr="00084449" w:rsidRDefault="00FC0E22" w:rsidP="00624D2D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227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3018EA92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24.</w:t>
            </w: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6</w:t>
            </w:r>
          </w:p>
        </w:tc>
        <w:tc>
          <w:tcPr>
            <w:tcW w:w="2466" w:type="dxa"/>
            <w:shd w:val="clear" w:color="auto" w:fill="auto"/>
            <w:vAlign w:val="bottom"/>
          </w:tcPr>
          <w:p w14:paraId="46EB9E88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1.33 (1.17, 1.51)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582DA9C9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0.01</w:t>
            </w:r>
          </w:p>
        </w:tc>
        <w:tc>
          <w:tcPr>
            <w:tcW w:w="2341" w:type="dxa"/>
            <w:shd w:val="clear" w:color="auto" w:fill="auto"/>
            <w:vAlign w:val="bottom"/>
          </w:tcPr>
          <w:p w14:paraId="6AD770D0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1.32 (1.16, 1.50)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660FD1DF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0.01</w:t>
            </w:r>
          </w:p>
        </w:tc>
      </w:tr>
      <w:tr w:rsidR="00FC0E22" w:rsidRPr="00084449" w14:paraId="71CC7A6B" w14:textId="77777777" w:rsidTr="00624D2D">
        <w:trPr>
          <w:trHeight w:val="243"/>
        </w:trPr>
        <w:tc>
          <w:tcPr>
            <w:tcW w:w="1908" w:type="dxa"/>
            <w:shd w:val="clear" w:color="auto" w:fill="auto"/>
            <w:vAlign w:val="bottom"/>
          </w:tcPr>
          <w:p w14:paraId="1C781412" w14:textId="77777777" w:rsidR="00FC0E22" w:rsidRPr="00084449" w:rsidRDefault="00FC0E22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</w:t>
            </w: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≥</w:t>
            </w: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88.5</w:t>
            </w:r>
          </w:p>
        </w:tc>
        <w:tc>
          <w:tcPr>
            <w:tcW w:w="1980" w:type="dxa"/>
            <w:shd w:val="clear" w:color="auto" w:fill="auto"/>
          </w:tcPr>
          <w:p w14:paraId="45A6B58E" w14:textId="77777777" w:rsidR="00FC0E22" w:rsidRPr="00084449" w:rsidRDefault="00FC0E22" w:rsidP="00624D2D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313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278FD936" w14:textId="77777777" w:rsidR="00FC0E22" w:rsidRPr="00084449" w:rsidRDefault="00FC0E22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34.1</w:t>
            </w:r>
          </w:p>
        </w:tc>
        <w:tc>
          <w:tcPr>
            <w:tcW w:w="2466" w:type="dxa"/>
            <w:shd w:val="clear" w:color="auto" w:fill="auto"/>
            <w:vAlign w:val="bottom"/>
          </w:tcPr>
          <w:p w14:paraId="548CB12D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1.87 (1.66, 2.11)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3475ECE8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  <w:tc>
          <w:tcPr>
            <w:tcW w:w="2341" w:type="dxa"/>
            <w:shd w:val="clear" w:color="auto" w:fill="auto"/>
            <w:vAlign w:val="bottom"/>
          </w:tcPr>
          <w:p w14:paraId="2B0E46CA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1.85 (1.64, 2.09)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5DBE8A4C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FC0E22" w:rsidRPr="00084449" w14:paraId="482FCB7A" w14:textId="77777777" w:rsidTr="00624D2D">
        <w:trPr>
          <w:trHeight w:val="225"/>
        </w:trPr>
        <w:tc>
          <w:tcPr>
            <w:tcW w:w="1908" w:type="dxa"/>
            <w:shd w:val="clear" w:color="auto" w:fill="auto"/>
            <w:vAlign w:val="bottom"/>
          </w:tcPr>
          <w:p w14:paraId="4C8161E4" w14:textId="66750855" w:rsidR="00FC0E22" w:rsidRPr="00084449" w:rsidRDefault="00CB4844" w:rsidP="00624D2D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per 1-</w:t>
            </w:r>
            <w:r w:rsidR="00FC0E22"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SD</w:t>
            </w:r>
          </w:p>
        </w:tc>
        <w:tc>
          <w:tcPr>
            <w:tcW w:w="1980" w:type="dxa"/>
            <w:shd w:val="clear" w:color="auto" w:fill="auto"/>
          </w:tcPr>
          <w:p w14:paraId="1A954DF5" w14:textId="77777777" w:rsidR="00FC0E22" w:rsidRPr="00084449" w:rsidRDefault="00FC0E22" w:rsidP="00624D2D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6CDC7995" w14:textId="77777777" w:rsidR="00FC0E22" w:rsidRPr="00084449" w:rsidRDefault="00FC0E22" w:rsidP="00624D2D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2466" w:type="dxa"/>
            <w:shd w:val="clear" w:color="auto" w:fill="auto"/>
            <w:vAlign w:val="bottom"/>
          </w:tcPr>
          <w:p w14:paraId="61313134" w14:textId="77777777" w:rsidR="00FC0E22" w:rsidRPr="00084449" w:rsidRDefault="00FC0E22" w:rsidP="00624D2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1.35 (1.27, 1.43)</w:t>
            </w:r>
          </w:p>
        </w:tc>
        <w:tc>
          <w:tcPr>
            <w:tcW w:w="1770" w:type="dxa"/>
            <w:shd w:val="clear" w:color="auto" w:fill="auto"/>
            <w:vAlign w:val="bottom"/>
          </w:tcPr>
          <w:p w14:paraId="37397D45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  <w:tc>
          <w:tcPr>
            <w:tcW w:w="2341" w:type="dxa"/>
            <w:shd w:val="clear" w:color="auto" w:fill="auto"/>
            <w:vAlign w:val="bottom"/>
          </w:tcPr>
          <w:p w14:paraId="338790B1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1.34 (1.26, 1.43)</w:t>
            </w:r>
          </w:p>
        </w:tc>
        <w:tc>
          <w:tcPr>
            <w:tcW w:w="1895" w:type="dxa"/>
            <w:shd w:val="clear" w:color="auto" w:fill="auto"/>
            <w:vAlign w:val="bottom"/>
          </w:tcPr>
          <w:p w14:paraId="72C69ADB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FC0E22" w:rsidRPr="00084449" w14:paraId="35DCED26" w14:textId="77777777" w:rsidTr="00624D2D">
        <w:trPr>
          <w:trHeight w:val="225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DF457" w14:textId="2607CBFC" w:rsidR="00FC0E22" w:rsidRPr="00084449" w:rsidRDefault="00CB4844" w:rsidP="00624D2D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 xml:space="preserve">  per 1-</w:t>
            </w:r>
            <w:r w:rsidR="00FC0E22"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  <w:t>SD</w:t>
            </w:r>
            <w:r w:rsidR="00FC0E22" w:rsidRPr="00084449">
              <w:rPr>
                <w:rFonts w:ascii="Arial" w:eastAsia="Times New Roman" w:hAnsi="Arial" w:cs="Arial"/>
                <w:bCs/>
                <w:color w:val="000000" w:themeColor="text1"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2B39277" w14:textId="77777777" w:rsidR="00FC0E22" w:rsidRPr="00084449" w:rsidRDefault="00FC0E22" w:rsidP="00624D2D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067F3A" w14:textId="77777777" w:rsidR="00FC0E22" w:rsidRPr="00084449" w:rsidRDefault="00FC0E22" w:rsidP="00624D2D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B9D0E" w14:textId="77777777" w:rsidR="00FC0E22" w:rsidRPr="00084449" w:rsidRDefault="00FC0E22" w:rsidP="00624D2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1.25 (1.11, 1.41)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61D4E96A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&lt;0.001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400B84B7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14EF27F7" w14:textId="77777777" w:rsidR="00FC0E22" w:rsidRPr="00084449" w:rsidRDefault="00FC0E22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&lt;0.001</w:t>
            </w:r>
          </w:p>
        </w:tc>
      </w:tr>
    </w:tbl>
    <w:p w14:paraId="77828A0B" w14:textId="77777777" w:rsidR="00FC0E22" w:rsidRPr="00A63F52" w:rsidRDefault="00FC0E22" w:rsidP="00FC0E22">
      <w:pPr>
        <w:spacing w:after="0" w:line="240" w:lineRule="auto"/>
        <w:contextualSpacing/>
        <w:rPr>
          <w:rFonts w:ascii="Arial" w:hAnsi="Arial" w:cs="Arial"/>
          <w:color w:val="000000" w:themeColor="text1"/>
          <w:sz w:val="12"/>
          <w:szCs w:val="12"/>
          <w:vertAlign w:val="superscript"/>
          <w:lang w:val="en-GB"/>
        </w:rPr>
      </w:pPr>
    </w:p>
    <w:p w14:paraId="65F6AD86" w14:textId="77777777" w:rsidR="00FC0E22" w:rsidRPr="00EF002B" w:rsidRDefault="00FC0E22" w:rsidP="00E5176A">
      <w:pPr>
        <w:spacing w:after="0" w:line="240" w:lineRule="auto"/>
        <w:ind w:left="142" w:hanging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407D92">
        <w:rPr>
          <w:rFonts w:ascii="Arial" w:hAnsi="Arial" w:cs="Arial"/>
          <w:color w:val="000000" w:themeColor="text1"/>
          <w:sz w:val="18"/>
          <w:szCs w:val="18"/>
          <w:vertAlign w:val="superscript"/>
          <w:lang w:val="en-GB"/>
        </w:rPr>
        <w:t>1</w:t>
      </w:r>
      <w:r w:rsidRPr="00407D92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Pr="00407D92">
        <w:rPr>
          <w:rFonts w:ascii="Arial" w:hAnsi="Arial" w:cs="Arial"/>
          <w:color w:val="000000" w:themeColor="text1"/>
          <w:sz w:val="18"/>
          <w:szCs w:val="18"/>
        </w:rPr>
        <w:t>Model was stratified by sex and region, and adjusted for age at baseline, education, smoking, alcohol, and medication (aspirin, ACE-I, beta-blockers, statins, diuretics, Ca</w:t>
      </w:r>
      <w:r w:rsidRPr="00407D92">
        <w:rPr>
          <w:rFonts w:ascii="Arial" w:hAnsi="Arial" w:cs="Arial"/>
          <w:color w:val="000000" w:themeColor="text1"/>
          <w:sz w:val="18"/>
          <w:szCs w:val="18"/>
          <w:vertAlign w:val="superscript"/>
        </w:rPr>
        <w:t>++</w:t>
      </w:r>
      <w:r w:rsidRPr="00407D92">
        <w:rPr>
          <w:rFonts w:ascii="Arial" w:hAnsi="Arial" w:cs="Arial"/>
          <w:color w:val="000000" w:themeColor="text1"/>
          <w:sz w:val="18"/>
          <w:szCs w:val="18"/>
        </w:rPr>
        <w:t xml:space="preserve"> antagonists, </w:t>
      </w:r>
      <w:r w:rsidRPr="00EF002B">
        <w:rPr>
          <w:rFonts w:ascii="Arial" w:hAnsi="Arial" w:cs="Arial"/>
          <w:color w:val="000000" w:themeColor="text1"/>
          <w:sz w:val="18"/>
          <w:szCs w:val="18"/>
        </w:rPr>
        <w:t xml:space="preserve">metformin, and insulin). </w:t>
      </w:r>
      <w:r w:rsidRPr="00EF002B">
        <w:rPr>
          <w:rFonts w:ascii="Arial" w:hAnsi="Arial" w:cs="Arial"/>
          <w:color w:val="000000" w:themeColor="text1"/>
          <w:sz w:val="18"/>
          <w:szCs w:val="18"/>
          <w:lang w:val="en-GB"/>
        </w:rPr>
        <w:t>Time since birth was used as the underlying time scale with delayed entry at age at baseline. SD was 3.4 kg/m</w:t>
      </w:r>
      <w:r w:rsidRPr="00EF002B">
        <w:rPr>
          <w:rFonts w:ascii="Arial" w:hAnsi="Arial" w:cs="Arial"/>
          <w:color w:val="000000" w:themeColor="text1"/>
          <w:sz w:val="18"/>
          <w:szCs w:val="18"/>
          <w:vertAlign w:val="superscript"/>
          <w:lang w:val="en-GB"/>
        </w:rPr>
        <w:t>2</w:t>
      </w:r>
      <w:r w:rsidRPr="00EF002B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for BMI and 9.8 cm for WC.</w:t>
      </w:r>
    </w:p>
    <w:p w14:paraId="436BCC50" w14:textId="77777777" w:rsidR="00FC0E22" w:rsidRPr="00A63F52" w:rsidRDefault="00FC0E22" w:rsidP="00E5176A">
      <w:pPr>
        <w:spacing w:after="0" w:line="240" w:lineRule="auto"/>
        <w:ind w:left="142" w:hanging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A63F52">
        <w:rPr>
          <w:rFonts w:ascii="Arial" w:hAnsi="Arial" w:cs="Arial"/>
          <w:color w:val="000000" w:themeColor="text1"/>
          <w:sz w:val="18"/>
          <w:szCs w:val="18"/>
          <w:vertAlign w:val="superscript"/>
          <w:lang w:val="en-GB"/>
        </w:rPr>
        <w:t>2</w:t>
      </w:r>
      <w:r w:rsidRPr="00A63F52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Additionally adjusted for diabetes. </w:t>
      </w:r>
    </w:p>
    <w:p w14:paraId="336BF70A" w14:textId="4B0AEC75" w:rsidR="00DE6008" w:rsidRDefault="00FC0E22" w:rsidP="00E5176A">
      <w:pPr>
        <w:spacing w:after="0" w:line="240" w:lineRule="auto"/>
        <w:ind w:left="142" w:hanging="142"/>
        <w:contextualSpacing/>
      </w:pPr>
      <w:r w:rsidRPr="00A63F52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</w:rPr>
        <w:t xml:space="preserve">3 </w:t>
      </w:r>
      <w:r w:rsidRPr="00A63F52">
        <w:rPr>
          <w:rFonts w:ascii="Arial" w:hAnsi="Arial" w:cs="Arial"/>
          <w:color w:val="000000" w:themeColor="text1"/>
          <w:sz w:val="18"/>
          <w:szCs w:val="18"/>
        </w:rPr>
        <w:t>Additionally adjusted for WC (for BMI) and BMI (for WC).</w:t>
      </w:r>
      <w:r w:rsidR="003C29EA" w:rsidRPr="00FC0E22">
        <w:t xml:space="preserve"> </w:t>
      </w:r>
    </w:p>
    <w:p w14:paraId="7D1E1E7D" w14:textId="0F7F0752" w:rsidR="009628E7" w:rsidRPr="009628E7" w:rsidRDefault="009628E7" w:rsidP="00E5176A">
      <w:pPr>
        <w:spacing w:after="0" w:line="240" w:lineRule="auto"/>
        <w:ind w:left="142" w:hanging="142"/>
        <w:contextualSpacing/>
        <w:rPr>
          <w:rFonts w:ascii="Arial" w:hAnsi="Arial" w:cs="Arial"/>
          <w:sz w:val="18"/>
          <w:szCs w:val="18"/>
        </w:rPr>
      </w:pPr>
      <w:r w:rsidRPr="009628E7">
        <w:rPr>
          <w:rFonts w:ascii="Arial" w:hAnsi="Arial" w:cs="Arial"/>
          <w:color w:val="353535"/>
          <w:sz w:val="18"/>
          <w:szCs w:val="18"/>
        </w:rPr>
        <w:t xml:space="preserve">Abbreviations: ACE-I, angiotensin-converting enzyme inhibitor; </w:t>
      </w:r>
      <w:r>
        <w:rPr>
          <w:rFonts w:ascii="Arial" w:hAnsi="Arial" w:cs="Arial"/>
          <w:color w:val="353535"/>
          <w:sz w:val="18"/>
          <w:szCs w:val="18"/>
        </w:rPr>
        <w:t xml:space="preserve">BMI, body mass index; </w:t>
      </w:r>
      <w:r w:rsidRPr="009628E7">
        <w:rPr>
          <w:rFonts w:ascii="Arial" w:hAnsi="Arial" w:cs="Arial"/>
          <w:color w:val="353535"/>
          <w:sz w:val="18"/>
          <w:szCs w:val="18"/>
        </w:rPr>
        <w:t>HR, hazard ratio</w:t>
      </w:r>
      <w:r>
        <w:rPr>
          <w:rFonts w:ascii="Arial" w:hAnsi="Arial" w:cs="Arial"/>
          <w:color w:val="353535"/>
          <w:sz w:val="18"/>
          <w:szCs w:val="18"/>
        </w:rPr>
        <w:t>; WC, waist circumference.</w:t>
      </w:r>
    </w:p>
    <w:sectPr w:rsidR="009628E7" w:rsidRPr="009628E7" w:rsidSect="00FC0E22"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C8DD" w14:textId="77777777" w:rsidR="00333A63" w:rsidRDefault="00333A63" w:rsidP="008C6F64">
      <w:pPr>
        <w:spacing w:after="0" w:line="240" w:lineRule="auto"/>
      </w:pPr>
      <w:r>
        <w:separator/>
      </w:r>
    </w:p>
  </w:endnote>
  <w:endnote w:type="continuationSeparator" w:id="0">
    <w:p w14:paraId="315D2605" w14:textId="77777777" w:rsidR="00333A63" w:rsidRDefault="00333A63" w:rsidP="008C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07C3" w14:textId="77777777" w:rsidR="00333A63" w:rsidRDefault="00333A63" w:rsidP="008C6F64">
      <w:pPr>
        <w:spacing w:after="0" w:line="240" w:lineRule="auto"/>
      </w:pPr>
      <w:r>
        <w:separator/>
      </w:r>
    </w:p>
  </w:footnote>
  <w:footnote w:type="continuationSeparator" w:id="0">
    <w:p w14:paraId="45E826D8" w14:textId="77777777" w:rsidR="00333A63" w:rsidRDefault="00333A63" w:rsidP="008C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7205"/>
    <w:multiLevelType w:val="hybridMultilevel"/>
    <w:tmpl w:val="9A80C2BC"/>
    <w:lvl w:ilvl="0" w:tplc="1C7E6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C1"/>
    <w:rsid w:val="0000164D"/>
    <w:rsid w:val="000025F4"/>
    <w:rsid w:val="00005492"/>
    <w:rsid w:val="00016DCC"/>
    <w:rsid w:val="00021E03"/>
    <w:rsid w:val="00022167"/>
    <w:rsid w:val="00023BBE"/>
    <w:rsid w:val="0003127D"/>
    <w:rsid w:val="0003276A"/>
    <w:rsid w:val="0003279E"/>
    <w:rsid w:val="0003280F"/>
    <w:rsid w:val="0004113C"/>
    <w:rsid w:val="00044459"/>
    <w:rsid w:val="00052DBF"/>
    <w:rsid w:val="000565E2"/>
    <w:rsid w:val="00056DE4"/>
    <w:rsid w:val="00061560"/>
    <w:rsid w:val="0006608C"/>
    <w:rsid w:val="0007454A"/>
    <w:rsid w:val="00074FFD"/>
    <w:rsid w:val="00084449"/>
    <w:rsid w:val="00092CCE"/>
    <w:rsid w:val="000A4925"/>
    <w:rsid w:val="000B5DE0"/>
    <w:rsid w:val="000B694A"/>
    <w:rsid w:val="000C3919"/>
    <w:rsid w:val="000C741C"/>
    <w:rsid w:val="000C7D9C"/>
    <w:rsid w:val="000D74EF"/>
    <w:rsid w:val="000E1B8B"/>
    <w:rsid w:val="000E2E7F"/>
    <w:rsid w:val="000E54FC"/>
    <w:rsid w:val="000F1271"/>
    <w:rsid w:val="000F3248"/>
    <w:rsid w:val="000F35E8"/>
    <w:rsid w:val="000F6C41"/>
    <w:rsid w:val="0010077F"/>
    <w:rsid w:val="001114EC"/>
    <w:rsid w:val="001167A4"/>
    <w:rsid w:val="0013150C"/>
    <w:rsid w:val="00134C90"/>
    <w:rsid w:val="00137262"/>
    <w:rsid w:val="0014059D"/>
    <w:rsid w:val="00140857"/>
    <w:rsid w:val="001531BE"/>
    <w:rsid w:val="0015556E"/>
    <w:rsid w:val="00160533"/>
    <w:rsid w:val="00160EDE"/>
    <w:rsid w:val="001654ED"/>
    <w:rsid w:val="001715C4"/>
    <w:rsid w:val="00175CB7"/>
    <w:rsid w:val="001765BE"/>
    <w:rsid w:val="00177A4B"/>
    <w:rsid w:val="00185C89"/>
    <w:rsid w:val="00191438"/>
    <w:rsid w:val="00193506"/>
    <w:rsid w:val="0019406D"/>
    <w:rsid w:val="00194900"/>
    <w:rsid w:val="00195731"/>
    <w:rsid w:val="0019612F"/>
    <w:rsid w:val="001A0CE0"/>
    <w:rsid w:val="001A2718"/>
    <w:rsid w:val="001A6E20"/>
    <w:rsid w:val="001A6EAC"/>
    <w:rsid w:val="001A7526"/>
    <w:rsid w:val="001B2BEE"/>
    <w:rsid w:val="001B2D6E"/>
    <w:rsid w:val="001C01C5"/>
    <w:rsid w:val="001C5E6B"/>
    <w:rsid w:val="001E2C01"/>
    <w:rsid w:val="001E3570"/>
    <w:rsid w:val="001E421C"/>
    <w:rsid w:val="001E7CEE"/>
    <w:rsid w:val="001F20B8"/>
    <w:rsid w:val="00201DD2"/>
    <w:rsid w:val="0020251F"/>
    <w:rsid w:val="0020726D"/>
    <w:rsid w:val="002079FF"/>
    <w:rsid w:val="00207B78"/>
    <w:rsid w:val="002106DD"/>
    <w:rsid w:val="002129F1"/>
    <w:rsid w:val="0021332E"/>
    <w:rsid w:val="002227F0"/>
    <w:rsid w:val="00231B41"/>
    <w:rsid w:val="00235261"/>
    <w:rsid w:val="002357E0"/>
    <w:rsid w:val="00236D1C"/>
    <w:rsid w:val="002479A2"/>
    <w:rsid w:val="00253055"/>
    <w:rsid w:val="0025444E"/>
    <w:rsid w:val="0025464F"/>
    <w:rsid w:val="002569A8"/>
    <w:rsid w:val="00256FB1"/>
    <w:rsid w:val="0026066C"/>
    <w:rsid w:val="00262867"/>
    <w:rsid w:val="00266956"/>
    <w:rsid w:val="0027700B"/>
    <w:rsid w:val="00282588"/>
    <w:rsid w:val="002831D5"/>
    <w:rsid w:val="00292C6D"/>
    <w:rsid w:val="00294FB2"/>
    <w:rsid w:val="00295ED9"/>
    <w:rsid w:val="00297A7B"/>
    <w:rsid w:val="002A071B"/>
    <w:rsid w:val="002A2FF2"/>
    <w:rsid w:val="002A3FD2"/>
    <w:rsid w:val="002B251D"/>
    <w:rsid w:val="002B321D"/>
    <w:rsid w:val="002C61A7"/>
    <w:rsid w:val="002D4A86"/>
    <w:rsid w:val="002D5755"/>
    <w:rsid w:val="002E0A39"/>
    <w:rsid w:val="002E3686"/>
    <w:rsid w:val="002E6416"/>
    <w:rsid w:val="00306656"/>
    <w:rsid w:val="00306ED2"/>
    <w:rsid w:val="00310AEC"/>
    <w:rsid w:val="00312E45"/>
    <w:rsid w:val="003245D0"/>
    <w:rsid w:val="0032545C"/>
    <w:rsid w:val="00333A63"/>
    <w:rsid w:val="0033757A"/>
    <w:rsid w:val="00360880"/>
    <w:rsid w:val="00371961"/>
    <w:rsid w:val="003744B4"/>
    <w:rsid w:val="003770AB"/>
    <w:rsid w:val="00382B94"/>
    <w:rsid w:val="00383CAA"/>
    <w:rsid w:val="003904B7"/>
    <w:rsid w:val="003949E6"/>
    <w:rsid w:val="003A03EC"/>
    <w:rsid w:val="003A1DC3"/>
    <w:rsid w:val="003A2C5E"/>
    <w:rsid w:val="003A4012"/>
    <w:rsid w:val="003B00C3"/>
    <w:rsid w:val="003B0B60"/>
    <w:rsid w:val="003B4E99"/>
    <w:rsid w:val="003C1D3B"/>
    <w:rsid w:val="003C29EA"/>
    <w:rsid w:val="003C45CF"/>
    <w:rsid w:val="003D6284"/>
    <w:rsid w:val="003E24C3"/>
    <w:rsid w:val="003E5582"/>
    <w:rsid w:val="003F0ED9"/>
    <w:rsid w:val="0040591E"/>
    <w:rsid w:val="00407D92"/>
    <w:rsid w:val="0041032E"/>
    <w:rsid w:val="00414328"/>
    <w:rsid w:val="00414FAD"/>
    <w:rsid w:val="00420594"/>
    <w:rsid w:val="0042747C"/>
    <w:rsid w:val="00427FD9"/>
    <w:rsid w:val="00440808"/>
    <w:rsid w:val="00441E1F"/>
    <w:rsid w:val="00443676"/>
    <w:rsid w:val="00444E32"/>
    <w:rsid w:val="0045728B"/>
    <w:rsid w:val="004662F9"/>
    <w:rsid w:val="00467948"/>
    <w:rsid w:val="004737E8"/>
    <w:rsid w:val="00476FF7"/>
    <w:rsid w:val="00477CD3"/>
    <w:rsid w:val="004815D1"/>
    <w:rsid w:val="00483732"/>
    <w:rsid w:val="00491065"/>
    <w:rsid w:val="004A5FAC"/>
    <w:rsid w:val="004A6AA4"/>
    <w:rsid w:val="004B0512"/>
    <w:rsid w:val="004C03CB"/>
    <w:rsid w:val="004C1489"/>
    <w:rsid w:val="004D02DD"/>
    <w:rsid w:val="004D53DE"/>
    <w:rsid w:val="004E071B"/>
    <w:rsid w:val="004F0EAB"/>
    <w:rsid w:val="004F3F98"/>
    <w:rsid w:val="004F4DAC"/>
    <w:rsid w:val="004F5BC0"/>
    <w:rsid w:val="00501BB6"/>
    <w:rsid w:val="00504D27"/>
    <w:rsid w:val="00510084"/>
    <w:rsid w:val="00511000"/>
    <w:rsid w:val="005240D5"/>
    <w:rsid w:val="0052531F"/>
    <w:rsid w:val="00525996"/>
    <w:rsid w:val="00542B80"/>
    <w:rsid w:val="00555A89"/>
    <w:rsid w:val="0056593A"/>
    <w:rsid w:val="00571AD2"/>
    <w:rsid w:val="00575103"/>
    <w:rsid w:val="00577809"/>
    <w:rsid w:val="00581CB9"/>
    <w:rsid w:val="00582CD5"/>
    <w:rsid w:val="00593305"/>
    <w:rsid w:val="00595CA9"/>
    <w:rsid w:val="005A12CE"/>
    <w:rsid w:val="005A1FEC"/>
    <w:rsid w:val="005A3312"/>
    <w:rsid w:val="005A4715"/>
    <w:rsid w:val="005A7891"/>
    <w:rsid w:val="005B4771"/>
    <w:rsid w:val="005B48DE"/>
    <w:rsid w:val="005C6386"/>
    <w:rsid w:val="005C722B"/>
    <w:rsid w:val="005D016C"/>
    <w:rsid w:val="005D2B89"/>
    <w:rsid w:val="005D34EC"/>
    <w:rsid w:val="005F4357"/>
    <w:rsid w:val="005F53CD"/>
    <w:rsid w:val="005F5D2C"/>
    <w:rsid w:val="00601659"/>
    <w:rsid w:val="00605CBD"/>
    <w:rsid w:val="00610B68"/>
    <w:rsid w:val="00613928"/>
    <w:rsid w:val="00615EF8"/>
    <w:rsid w:val="00623380"/>
    <w:rsid w:val="006246A2"/>
    <w:rsid w:val="0062621A"/>
    <w:rsid w:val="006324D0"/>
    <w:rsid w:val="00632ED1"/>
    <w:rsid w:val="0063550A"/>
    <w:rsid w:val="00640AB3"/>
    <w:rsid w:val="00640B2E"/>
    <w:rsid w:val="006570CC"/>
    <w:rsid w:val="006572CC"/>
    <w:rsid w:val="00662B4D"/>
    <w:rsid w:val="00666EC8"/>
    <w:rsid w:val="00670B82"/>
    <w:rsid w:val="00672B7A"/>
    <w:rsid w:val="00674669"/>
    <w:rsid w:val="006775E8"/>
    <w:rsid w:val="0069113B"/>
    <w:rsid w:val="00691163"/>
    <w:rsid w:val="00694D6C"/>
    <w:rsid w:val="006A195D"/>
    <w:rsid w:val="006A4000"/>
    <w:rsid w:val="006A55D1"/>
    <w:rsid w:val="006B0948"/>
    <w:rsid w:val="006B30A9"/>
    <w:rsid w:val="006B3F2A"/>
    <w:rsid w:val="006B5AF4"/>
    <w:rsid w:val="006C2960"/>
    <w:rsid w:val="006C758D"/>
    <w:rsid w:val="006D231F"/>
    <w:rsid w:val="006D2755"/>
    <w:rsid w:val="006D46C7"/>
    <w:rsid w:val="006D6BC0"/>
    <w:rsid w:val="006E246B"/>
    <w:rsid w:val="006E3F78"/>
    <w:rsid w:val="006E4B27"/>
    <w:rsid w:val="006E7B6A"/>
    <w:rsid w:val="006F2450"/>
    <w:rsid w:val="00703286"/>
    <w:rsid w:val="007032A9"/>
    <w:rsid w:val="00710AA8"/>
    <w:rsid w:val="007120D3"/>
    <w:rsid w:val="00712AF0"/>
    <w:rsid w:val="007251B6"/>
    <w:rsid w:val="00731776"/>
    <w:rsid w:val="00733931"/>
    <w:rsid w:val="0074305D"/>
    <w:rsid w:val="007432F9"/>
    <w:rsid w:val="00746A23"/>
    <w:rsid w:val="00747BCB"/>
    <w:rsid w:val="00753120"/>
    <w:rsid w:val="00765F5B"/>
    <w:rsid w:val="007669F5"/>
    <w:rsid w:val="007671F0"/>
    <w:rsid w:val="00773046"/>
    <w:rsid w:val="00773170"/>
    <w:rsid w:val="00773D4A"/>
    <w:rsid w:val="0077772F"/>
    <w:rsid w:val="007809AC"/>
    <w:rsid w:val="00785D57"/>
    <w:rsid w:val="007923D0"/>
    <w:rsid w:val="007954DC"/>
    <w:rsid w:val="007961A5"/>
    <w:rsid w:val="00797504"/>
    <w:rsid w:val="007A11FB"/>
    <w:rsid w:val="007A1225"/>
    <w:rsid w:val="007A393D"/>
    <w:rsid w:val="007A47F5"/>
    <w:rsid w:val="007B6FE0"/>
    <w:rsid w:val="007C2868"/>
    <w:rsid w:val="007D23C4"/>
    <w:rsid w:val="007F19C6"/>
    <w:rsid w:val="007F3E13"/>
    <w:rsid w:val="007F5C74"/>
    <w:rsid w:val="007F6C99"/>
    <w:rsid w:val="0080419B"/>
    <w:rsid w:val="008042AF"/>
    <w:rsid w:val="008050A0"/>
    <w:rsid w:val="00810074"/>
    <w:rsid w:val="00813126"/>
    <w:rsid w:val="00823787"/>
    <w:rsid w:val="00827C4B"/>
    <w:rsid w:val="00831C4F"/>
    <w:rsid w:val="0083593E"/>
    <w:rsid w:val="00843879"/>
    <w:rsid w:val="00843FCA"/>
    <w:rsid w:val="00844C9B"/>
    <w:rsid w:val="00847A78"/>
    <w:rsid w:val="008555D5"/>
    <w:rsid w:val="00855FAE"/>
    <w:rsid w:val="00857623"/>
    <w:rsid w:val="00863802"/>
    <w:rsid w:val="008732C9"/>
    <w:rsid w:val="00873638"/>
    <w:rsid w:val="00874E13"/>
    <w:rsid w:val="00880F4A"/>
    <w:rsid w:val="00884224"/>
    <w:rsid w:val="00885363"/>
    <w:rsid w:val="008969E6"/>
    <w:rsid w:val="00896EF0"/>
    <w:rsid w:val="008A445F"/>
    <w:rsid w:val="008A5C42"/>
    <w:rsid w:val="008A7EF5"/>
    <w:rsid w:val="008B3797"/>
    <w:rsid w:val="008B4DE9"/>
    <w:rsid w:val="008B5C6B"/>
    <w:rsid w:val="008B6009"/>
    <w:rsid w:val="008B66DF"/>
    <w:rsid w:val="008B7FE3"/>
    <w:rsid w:val="008C06E3"/>
    <w:rsid w:val="008C6185"/>
    <w:rsid w:val="008C6A58"/>
    <w:rsid w:val="008C6F64"/>
    <w:rsid w:val="008D0C94"/>
    <w:rsid w:val="008D0E8F"/>
    <w:rsid w:val="008D45BF"/>
    <w:rsid w:val="008D48D0"/>
    <w:rsid w:val="008E25DC"/>
    <w:rsid w:val="008E30B1"/>
    <w:rsid w:val="008E4805"/>
    <w:rsid w:val="008E7B31"/>
    <w:rsid w:val="008F7786"/>
    <w:rsid w:val="0091057B"/>
    <w:rsid w:val="00910F50"/>
    <w:rsid w:val="0091247F"/>
    <w:rsid w:val="00927276"/>
    <w:rsid w:val="00930E74"/>
    <w:rsid w:val="00934018"/>
    <w:rsid w:val="009422B1"/>
    <w:rsid w:val="0095019B"/>
    <w:rsid w:val="00950660"/>
    <w:rsid w:val="009511F9"/>
    <w:rsid w:val="009544E2"/>
    <w:rsid w:val="00957590"/>
    <w:rsid w:val="009628E7"/>
    <w:rsid w:val="00977FF2"/>
    <w:rsid w:val="0098043C"/>
    <w:rsid w:val="009820A5"/>
    <w:rsid w:val="009822F0"/>
    <w:rsid w:val="0098407E"/>
    <w:rsid w:val="009A6F5C"/>
    <w:rsid w:val="009B58AC"/>
    <w:rsid w:val="009C1913"/>
    <w:rsid w:val="009C4C40"/>
    <w:rsid w:val="009D3C0C"/>
    <w:rsid w:val="009D7A3E"/>
    <w:rsid w:val="009E27B2"/>
    <w:rsid w:val="009E38B1"/>
    <w:rsid w:val="009F3439"/>
    <w:rsid w:val="00A103EC"/>
    <w:rsid w:val="00A16356"/>
    <w:rsid w:val="00A1752C"/>
    <w:rsid w:val="00A20327"/>
    <w:rsid w:val="00A261DB"/>
    <w:rsid w:val="00A26A9B"/>
    <w:rsid w:val="00A274F8"/>
    <w:rsid w:val="00A32312"/>
    <w:rsid w:val="00A37D70"/>
    <w:rsid w:val="00A505BD"/>
    <w:rsid w:val="00A570AC"/>
    <w:rsid w:val="00A63F52"/>
    <w:rsid w:val="00A66F5C"/>
    <w:rsid w:val="00A76D5D"/>
    <w:rsid w:val="00A77D8F"/>
    <w:rsid w:val="00A817F1"/>
    <w:rsid w:val="00A85637"/>
    <w:rsid w:val="00A87E1C"/>
    <w:rsid w:val="00A92ABC"/>
    <w:rsid w:val="00A963D7"/>
    <w:rsid w:val="00AA04A6"/>
    <w:rsid w:val="00AA1723"/>
    <w:rsid w:val="00AA3B30"/>
    <w:rsid w:val="00AA5DA4"/>
    <w:rsid w:val="00AA71D0"/>
    <w:rsid w:val="00AA7EDB"/>
    <w:rsid w:val="00AB10FC"/>
    <w:rsid w:val="00AB3789"/>
    <w:rsid w:val="00AB7338"/>
    <w:rsid w:val="00AB7B13"/>
    <w:rsid w:val="00AC2B9B"/>
    <w:rsid w:val="00AC3E7B"/>
    <w:rsid w:val="00AC3FD8"/>
    <w:rsid w:val="00AC4C32"/>
    <w:rsid w:val="00AD50E2"/>
    <w:rsid w:val="00AD6FDA"/>
    <w:rsid w:val="00AD7D6E"/>
    <w:rsid w:val="00AE1916"/>
    <w:rsid w:val="00AE54BB"/>
    <w:rsid w:val="00AE7FD5"/>
    <w:rsid w:val="00AF32D0"/>
    <w:rsid w:val="00AF4333"/>
    <w:rsid w:val="00AF5A0C"/>
    <w:rsid w:val="00B051AD"/>
    <w:rsid w:val="00B23F15"/>
    <w:rsid w:val="00B24FC1"/>
    <w:rsid w:val="00B35907"/>
    <w:rsid w:val="00B36E1A"/>
    <w:rsid w:val="00B416D2"/>
    <w:rsid w:val="00B421D2"/>
    <w:rsid w:val="00B47B8A"/>
    <w:rsid w:val="00B553CD"/>
    <w:rsid w:val="00B564A5"/>
    <w:rsid w:val="00B609DE"/>
    <w:rsid w:val="00B630C2"/>
    <w:rsid w:val="00B70357"/>
    <w:rsid w:val="00B7234A"/>
    <w:rsid w:val="00B8705D"/>
    <w:rsid w:val="00B960D5"/>
    <w:rsid w:val="00BA4E47"/>
    <w:rsid w:val="00BA69C5"/>
    <w:rsid w:val="00BB1557"/>
    <w:rsid w:val="00BB181C"/>
    <w:rsid w:val="00BB3BE8"/>
    <w:rsid w:val="00BB74E6"/>
    <w:rsid w:val="00BC4005"/>
    <w:rsid w:val="00BC6871"/>
    <w:rsid w:val="00BD546F"/>
    <w:rsid w:val="00BD6ED4"/>
    <w:rsid w:val="00BE77C3"/>
    <w:rsid w:val="00BF0005"/>
    <w:rsid w:val="00BF79DB"/>
    <w:rsid w:val="00C0187E"/>
    <w:rsid w:val="00C07575"/>
    <w:rsid w:val="00C11D33"/>
    <w:rsid w:val="00C13418"/>
    <w:rsid w:val="00C149C9"/>
    <w:rsid w:val="00C14E4D"/>
    <w:rsid w:val="00C1762D"/>
    <w:rsid w:val="00C277A7"/>
    <w:rsid w:val="00C30BA4"/>
    <w:rsid w:val="00C342B0"/>
    <w:rsid w:val="00C41B7C"/>
    <w:rsid w:val="00C53BBF"/>
    <w:rsid w:val="00C7230D"/>
    <w:rsid w:val="00C76E36"/>
    <w:rsid w:val="00C84A43"/>
    <w:rsid w:val="00C84B86"/>
    <w:rsid w:val="00C86A06"/>
    <w:rsid w:val="00C92643"/>
    <w:rsid w:val="00C929F6"/>
    <w:rsid w:val="00CA0991"/>
    <w:rsid w:val="00CA1D16"/>
    <w:rsid w:val="00CA4DA5"/>
    <w:rsid w:val="00CA5B48"/>
    <w:rsid w:val="00CB18F3"/>
    <w:rsid w:val="00CB3672"/>
    <w:rsid w:val="00CB46C9"/>
    <w:rsid w:val="00CB4844"/>
    <w:rsid w:val="00CC1CE7"/>
    <w:rsid w:val="00CC774C"/>
    <w:rsid w:val="00CD5B32"/>
    <w:rsid w:val="00CF1479"/>
    <w:rsid w:val="00CF31B8"/>
    <w:rsid w:val="00CF419A"/>
    <w:rsid w:val="00CF6440"/>
    <w:rsid w:val="00D02A29"/>
    <w:rsid w:val="00D06502"/>
    <w:rsid w:val="00D119DC"/>
    <w:rsid w:val="00D179EC"/>
    <w:rsid w:val="00D228BC"/>
    <w:rsid w:val="00D3214E"/>
    <w:rsid w:val="00D360AD"/>
    <w:rsid w:val="00D36752"/>
    <w:rsid w:val="00D40C81"/>
    <w:rsid w:val="00D44DE9"/>
    <w:rsid w:val="00D45B83"/>
    <w:rsid w:val="00D47C3C"/>
    <w:rsid w:val="00D519EC"/>
    <w:rsid w:val="00D5336E"/>
    <w:rsid w:val="00D55C40"/>
    <w:rsid w:val="00D70F2C"/>
    <w:rsid w:val="00D73A5F"/>
    <w:rsid w:val="00D779A7"/>
    <w:rsid w:val="00D818CF"/>
    <w:rsid w:val="00D840EE"/>
    <w:rsid w:val="00D9390A"/>
    <w:rsid w:val="00DA098C"/>
    <w:rsid w:val="00DA19E0"/>
    <w:rsid w:val="00DA7313"/>
    <w:rsid w:val="00DB4A31"/>
    <w:rsid w:val="00DB4ECD"/>
    <w:rsid w:val="00DB5D86"/>
    <w:rsid w:val="00DC077C"/>
    <w:rsid w:val="00DC5997"/>
    <w:rsid w:val="00DC6CF9"/>
    <w:rsid w:val="00DD4C64"/>
    <w:rsid w:val="00DE6008"/>
    <w:rsid w:val="00DE6406"/>
    <w:rsid w:val="00DE6AB2"/>
    <w:rsid w:val="00DF26B4"/>
    <w:rsid w:val="00DF6CFB"/>
    <w:rsid w:val="00E017D9"/>
    <w:rsid w:val="00E05631"/>
    <w:rsid w:val="00E12B89"/>
    <w:rsid w:val="00E148CD"/>
    <w:rsid w:val="00E14ACF"/>
    <w:rsid w:val="00E16E64"/>
    <w:rsid w:val="00E2144A"/>
    <w:rsid w:val="00E23C43"/>
    <w:rsid w:val="00E26EDC"/>
    <w:rsid w:val="00E32F3E"/>
    <w:rsid w:val="00E458A8"/>
    <w:rsid w:val="00E5176A"/>
    <w:rsid w:val="00E6417F"/>
    <w:rsid w:val="00E67358"/>
    <w:rsid w:val="00E67D30"/>
    <w:rsid w:val="00E72D9D"/>
    <w:rsid w:val="00E73BCA"/>
    <w:rsid w:val="00E7597B"/>
    <w:rsid w:val="00E80C0D"/>
    <w:rsid w:val="00E910AD"/>
    <w:rsid w:val="00E96127"/>
    <w:rsid w:val="00EA1194"/>
    <w:rsid w:val="00EB4636"/>
    <w:rsid w:val="00EB4851"/>
    <w:rsid w:val="00EC0B46"/>
    <w:rsid w:val="00EC1A15"/>
    <w:rsid w:val="00EC7BF1"/>
    <w:rsid w:val="00ED19E1"/>
    <w:rsid w:val="00EE2190"/>
    <w:rsid w:val="00EE59F1"/>
    <w:rsid w:val="00EE723A"/>
    <w:rsid w:val="00EF002B"/>
    <w:rsid w:val="00EF3619"/>
    <w:rsid w:val="00F02A05"/>
    <w:rsid w:val="00F03A7C"/>
    <w:rsid w:val="00F05CD0"/>
    <w:rsid w:val="00F10F37"/>
    <w:rsid w:val="00F127F3"/>
    <w:rsid w:val="00F2381F"/>
    <w:rsid w:val="00F44C82"/>
    <w:rsid w:val="00F45554"/>
    <w:rsid w:val="00F46356"/>
    <w:rsid w:val="00F55607"/>
    <w:rsid w:val="00F65908"/>
    <w:rsid w:val="00F7083B"/>
    <w:rsid w:val="00F70FC0"/>
    <w:rsid w:val="00F82776"/>
    <w:rsid w:val="00F90513"/>
    <w:rsid w:val="00F914FC"/>
    <w:rsid w:val="00F97851"/>
    <w:rsid w:val="00FA1C07"/>
    <w:rsid w:val="00FA3A58"/>
    <w:rsid w:val="00FB5322"/>
    <w:rsid w:val="00FB5F45"/>
    <w:rsid w:val="00FC0E22"/>
    <w:rsid w:val="00FC4805"/>
    <w:rsid w:val="00FC4ACB"/>
    <w:rsid w:val="00FC5936"/>
    <w:rsid w:val="00FD0F0C"/>
    <w:rsid w:val="00FD5A57"/>
    <w:rsid w:val="00FE17C3"/>
    <w:rsid w:val="00FE25E1"/>
    <w:rsid w:val="00FE340D"/>
    <w:rsid w:val="00FE457F"/>
    <w:rsid w:val="00FE513E"/>
    <w:rsid w:val="00FE52A5"/>
    <w:rsid w:val="00FE7D47"/>
    <w:rsid w:val="00FF6757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1F2C"/>
  <w15:docId w15:val="{BB6BEEE0-02D5-F640-9732-FF44DB55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AD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D2"/>
    <w:pPr>
      <w:keepNext/>
      <w:keepLines/>
      <w:spacing w:after="0"/>
      <w:contextualSpacing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AD2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71A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D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7A78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bel">
    <w:name w:val="label"/>
    <w:basedOn w:val="DefaultParagraphFont"/>
    <w:rsid w:val="00847A78"/>
  </w:style>
  <w:style w:type="paragraph" w:styleId="Header">
    <w:name w:val="header"/>
    <w:basedOn w:val="Normal"/>
    <w:link w:val="HeaderChar"/>
    <w:uiPriority w:val="99"/>
    <w:unhideWhenUsed/>
    <w:rsid w:val="008C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64"/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F64"/>
    <w:pPr>
      <w:spacing w:before="480"/>
      <w:contextualSpacing w:val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3055"/>
    <w:pPr>
      <w:tabs>
        <w:tab w:val="right" w:leader="dot" w:pos="9628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F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E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E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E4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E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E4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828A-4C20-4C85-99E6-BA1D3470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Yuanjie Pang</dc:creator>
  <cp:lastModifiedBy>Stephanie Boyter</cp:lastModifiedBy>
  <cp:revision>2</cp:revision>
  <cp:lastPrinted>2017-10-18T12:06:00Z</cp:lastPrinted>
  <dcterms:created xsi:type="dcterms:W3CDTF">2018-07-09T13:49:00Z</dcterms:created>
  <dcterms:modified xsi:type="dcterms:W3CDTF">2018-07-09T13:49:00Z</dcterms:modified>
</cp:coreProperties>
</file>