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F71C" w14:textId="24D1080D" w:rsidR="00E47F70" w:rsidRDefault="00E47F70" w:rsidP="00E47F70">
      <w:pPr>
        <w:pStyle w:val="NoSpacing"/>
      </w:pPr>
      <w:bookmarkStart w:id="0" w:name="_GoBack"/>
      <w:bookmarkEnd w:id="0"/>
      <w:r>
        <w:rPr>
          <w:b/>
        </w:rPr>
        <w:t>S3 Table</w:t>
      </w:r>
      <w:r>
        <w:t>. Weighted</w:t>
      </w:r>
      <w:r w:rsidR="00045C3B">
        <w:t>*</w:t>
      </w:r>
      <w:r>
        <w:t xml:space="preserve"> design-adjusted</w:t>
      </w:r>
      <w:r w:rsidRPr="00C45526">
        <w:t xml:space="preserve"> and </w:t>
      </w:r>
      <w:r>
        <w:t xml:space="preserve">weighted design and covariate </w:t>
      </w:r>
      <w:r w:rsidRPr="00C45526">
        <w:t>adjusted model-estimated between</w:t>
      </w:r>
      <w:r>
        <w:t>-arm</w:t>
      </w:r>
      <w:r w:rsidRPr="00C45526">
        <w:t xml:space="preserve"> differences</w:t>
      </w:r>
      <w:r>
        <w:rPr>
          <w:vertAlign w:val="superscript"/>
        </w:rPr>
        <w:t>1</w:t>
      </w:r>
      <w:r w:rsidRPr="00C45526">
        <w:t xml:space="preserve"> comparing </w:t>
      </w:r>
      <w:r>
        <w:t>intervention and control arms</w:t>
      </w:r>
      <w:r w:rsidRPr="00C45526">
        <w:t xml:space="preserve"> in</w:t>
      </w:r>
      <w:r>
        <w:t xml:space="preserve"> the primary outcome of</w:t>
      </w:r>
      <w:r w:rsidRPr="00C45526">
        <w:t xml:space="preserve"> </w:t>
      </w:r>
      <w:r>
        <w:t>uptake of testing, i.e. took a malaria test from any source among all recent fevers.</w:t>
      </w:r>
      <w:r w:rsidRPr="00C45526">
        <w:t xml:space="preserve"> </w:t>
      </w:r>
      <w:r>
        <w:t>This table provides complete regression output for the primary outcome presented in Table 3 of the main manuscript, including coefficients on all adjustment variables.</w:t>
      </w:r>
    </w:p>
    <w:p w14:paraId="10E9C2BE" w14:textId="77777777" w:rsidR="00E47F70" w:rsidRDefault="00E47F70" w:rsidP="00E47F70">
      <w:pPr>
        <w:pStyle w:val="NoSpacing"/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2628"/>
        <w:gridCol w:w="990"/>
        <w:gridCol w:w="816"/>
        <w:gridCol w:w="1153"/>
        <w:gridCol w:w="796"/>
        <w:gridCol w:w="990"/>
        <w:gridCol w:w="950"/>
        <w:gridCol w:w="1000"/>
        <w:gridCol w:w="842"/>
      </w:tblGrid>
      <w:tr w:rsidR="00E47F70" w:rsidRPr="005E4AC5" w14:paraId="2E52091E" w14:textId="77777777" w:rsidTr="00610055">
        <w:trPr>
          <w:trHeight w:val="1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0B72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DE717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Ratios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B39B1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Risk Difference</w:t>
            </w:r>
          </w:p>
        </w:tc>
      </w:tr>
      <w:tr w:rsidR="00E47F70" w:rsidRPr="005E4AC5" w14:paraId="48C6F2CB" w14:textId="77777777" w:rsidTr="00610055">
        <w:trPr>
          <w:trHeight w:val="1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4811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1EB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9ED0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Adjusted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4AD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EC20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Adjusted</w:t>
            </w:r>
          </w:p>
        </w:tc>
      </w:tr>
      <w:tr w:rsidR="00E47F70" w:rsidRPr="005E4AC5" w14:paraId="350A04B2" w14:textId="77777777" w:rsidTr="00610055">
        <w:trPr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249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0D22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Estimate (95% CI)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BD9B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C4BD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Estimate </w:t>
            </w: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(95% CI)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96B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E734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Estimate </w:t>
            </w: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(95% CI)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941A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7D1C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Estimate </w:t>
            </w: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(95% CI)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5E5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E47F70" w:rsidRPr="005E4AC5" w14:paraId="4FCF7339" w14:textId="77777777" w:rsidTr="00610055">
        <w:trPr>
          <w:trHeight w:val="395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2EE23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Intercept</w:t>
            </w:r>
            <w:r w:rsidRPr="005E4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ADD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393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436A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1E92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7AD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29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755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214A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00AE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7D4B58C3" w14:textId="77777777" w:rsidTr="00610055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435BC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Intervention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E59F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5AE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10E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39A2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A0E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1DE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BD16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E5BF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3513</w:t>
            </w:r>
          </w:p>
        </w:tc>
      </w:tr>
      <w:tr w:rsidR="00E47F70" w:rsidRPr="005E4AC5" w14:paraId="01F8C130" w14:textId="77777777" w:rsidTr="00610055">
        <w:trPr>
          <w:trHeight w:val="34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933F7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12-Months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5FC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0EF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D48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A357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504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E8E2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709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D404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2113</w:t>
            </w:r>
          </w:p>
        </w:tc>
      </w:tr>
      <w:tr w:rsidR="00E47F70" w:rsidRPr="005E4AC5" w14:paraId="3DD61AC3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8018A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18-Months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E05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D52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FC7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FCC7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321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B16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07A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F09C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4103</w:t>
            </w:r>
          </w:p>
        </w:tc>
      </w:tr>
      <w:tr w:rsidR="00E47F70" w:rsidRPr="005E4AC5" w14:paraId="32D24706" w14:textId="77777777" w:rsidTr="00610055">
        <w:trPr>
          <w:trHeight w:val="33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8906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Intervention*12-Months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E916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2D2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EEC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06E4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7A6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06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B9F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38FA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06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9C4D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1725</w:t>
            </w:r>
          </w:p>
        </w:tc>
      </w:tr>
      <w:tr w:rsidR="00E47F70" w:rsidRPr="005E4AC5" w14:paraId="2F01FF0F" w14:textId="77777777" w:rsidTr="00610055">
        <w:trPr>
          <w:trHeight w:val="33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B8ADE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Intervention*18-Months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50C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910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3A4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E220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CED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09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72B6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C60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F7ED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E47F70" w:rsidRPr="005E4AC5" w14:paraId="53D2BD39" w14:textId="77777777" w:rsidTr="00610055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2AD13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Baseline CU Proportion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who took a malaria test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6AEC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D0D3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FFC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D6F1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DFB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51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2037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98F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6262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178ABFAD" w14:textId="77777777" w:rsidTr="00610055">
        <w:trPr>
          <w:trHeight w:val="225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214BD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791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414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F2C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5756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66A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29C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568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5960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7F70" w:rsidRPr="005E4AC5" w14:paraId="08A43712" w14:textId="77777777" w:rsidTr="00610055">
        <w:trPr>
          <w:trHeight w:val="34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81E00" w14:textId="77777777" w:rsidR="00E47F70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Webuye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W. </w:t>
            </w:r>
          </w:p>
          <w:p w14:paraId="23D3AAC9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(No Health Facility)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B11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AC6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E9D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7078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025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B88D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73A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A957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4997</w:t>
            </w:r>
          </w:p>
        </w:tc>
      </w:tr>
      <w:tr w:rsidR="00E47F70" w:rsidRPr="005E4AC5" w14:paraId="46E7FA17" w14:textId="77777777" w:rsidTr="00610055">
        <w:trPr>
          <w:trHeight w:val="34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15C4C" w14:textId="77777777" w:rsidR="00E47F70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Webuye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E.</w:t>
            </w:r>
          </w:p>
          <w:p w14:paraId="469E9046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(Health Facility)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9DE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83E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1EB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F3E9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77E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D09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9AA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9C1A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6035</w:t>
            </w:r>
          </w:p>
        </w:tc>
      </w:tr>
      <w:tr w:rsidR="00E47F70" w:rsidRPr="005E4AC5" w14:paraId="3A5F596F" w14:textId="77777777" w:rsidTr="00610055">
        <w:trPr>
          <w:trHeight w:val="33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221F1" w14:textId="77777777" w:rsidR="00E47F70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Kiminini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18CEF5E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Health Facility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DAA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C8CB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23F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3B29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22D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DBA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D3E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05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E729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1851</w:t>
            </w:r>
          </w:p>
        </w:tc>
      </w:tr>
      <w:tr w:rsidR="00E47F70" w:rsidRPr="005E4AC5" w14:paraId="1C4F73EB" w14:textId="77777777" w:rsidTr="00610055">
        <w:trPr>
          <w:trHeight w:val="33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6C8D8" w14:textId="77777777" w:rsidR="00E47F70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Webuye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E.</w:t>
            </w:r>
          </w:p>
          <w:p w14:paraId="7483F848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Health Facility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DF1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3AD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DFC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E288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2B8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3F7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BFC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9D93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9745</w:t>
            </w:r>
          </w:p>
        </w:tc>
      </w:tr>
      <w:tr w:rsidR="00E47F70" w:rsidRPr="005E4AC5" w14:paraId="3521A10B" w14:textId="77777777" w:rsidTr="00610055">
        <w:trPr>
          <w:trHeight w:val="333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EBCCA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Kiminini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(Health Facility)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509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C94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FA7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CA3B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1F3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4CF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59F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3C46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47F70" w:rsidRPr="005E4AC5" w14:paraId="675F7BDB" w14:textId="77777777" w:rsidTr="00610055">
        <w:trPr>
          <w:trHeight w:val="225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BFABC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Index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EF30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79F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961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0451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DDB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94D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B0B1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634A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7F70" w:rsidRPr="005E4AC5" w14:paraId="3C071307" w14:textId="77777777" w:rsidTr="00610055">
        <w:trPr>
          <w:trHeight w:val="378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F6496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0 - 20th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BB2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161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4B2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E902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18B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D13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EF6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BA2F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3255573B" w14:textId="77777777" w:rsidTr="00610055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1C9B5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&gt;20 - 40th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209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E44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547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C9A8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928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C69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6E1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6631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3F982AF8" w14:textId="77777777" w:rsidTr="00610055">
        <w:trPr>
          <w:trHeight w:val="396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04A67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&gt;40 - 60th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0E5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C69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93E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DB5A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D712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973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261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95B8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7EB39A12" w14:textId="77777777" w:rsidTr="00610055">
        <w:trPr>
          <w:trHeight w:val="387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55465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&gt;60 - 80th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7A8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BD6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C86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7EE0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A83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EA7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E90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410C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4833BD41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A9C33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  <w:r w:rsidRPr="0062199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</w:t>
            </w:r>
            <w:r w:rsidRPr="0062199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2D8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E46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961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9A7F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0CF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302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F1C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E271C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47F70" w:rsidRPr="005E4AC5" w14:paraId="27140903" w14:textId="77777777" w:rsidTr="00610055">
        <w:trPr>
          <w:trHeight w:val="16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037EA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C28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A46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66C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B15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050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E01F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41C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DB84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7F70" w:rsidRPr="005E4AC5" w14:paraId="7A3888FB" w14:textId="77777777" w:rsidTr="00610055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A83EB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A15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7D3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6F5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EE20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F6D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4B9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3475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07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37EE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0012</w:t>
            </w:r>
          </w:p>
        </w:tc>
      </w:tr>
      <w:tr w:rsidR="00E47F70" w:rsidRPr="005E4AC5" w14:paraId="279EA32C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C0B4E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to 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8E9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C4BB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425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AA01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FA0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D0E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08C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07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proofErr w:type="gramStart"/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AF39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0002</w:t>
            </w:r>
          </w:p>
        </w:tc>
      </w:tr>
      <w:tr w:rsidR="00E47F70" w:rsidRPr="005E4AC5" w14:paraId="7FF5DA18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689E2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to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4DBD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0CB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FBF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5949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442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B4C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FE4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1DF0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47F70" w:rsidRPr="005E4AC5" w14:paraId="6485CF0D" w14:textId="77777777" w:rsidTr="00610055">
        <w:trPr>
          <w:trHeight w:val="45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CC0BC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AA31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BAE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608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4D36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6D9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C732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896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F1B4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0033</w:t>
            </w:r>
          </w:p>
        </w:tc>
      </w:tr>
      <w:tr w:rsidR="00E47F70" w:rsidRPr="005E4AC5" w14:paraId="0E2C4D49" w14:textId="77777777" w:rsidTr="00610055">
        <w:trPr>
          <w:trHeight w:val="45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50D45" w14:textId="77777777" w:rsidR="00E47F70" w:rsidRPr="005E4AC5" w:rsidRDefault="00E47F70" w:rsidP="0061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115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370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EE6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C41AE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717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10D0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DDF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A535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47F70" w:rsidRPr="005E4AC5" w14:paraId="79E497DE" w14:textId="77777777" w:rsidTr="00610055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D95B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Respondent Highest Education level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E0D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FF4B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20E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A792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170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B280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8A0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94DA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7F70" w:rsidRPr="005E4AC5" w14:paraId="2C55A1AF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31330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Completed primary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F5D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594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0C8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2387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E128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90A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175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3E859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3792</w:t>
            </w:r>
          </w:p>
        </w:tc>
      </w:tr>
      <w:tr w:rsidR="00E47F70" w:rsidRPr="005E4AC5" w14:paraId="73DDC2C2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87A15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Completed secondary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6AB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EEA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813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22747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9D0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9491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7105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 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07,0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D8756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5E4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</w:t>
            </w:r>
          </w:p>
        </w:tc>
      </w:tr>
      <w:tr w:rsidR="00E47F70" w:rsidRPr="005E4AC5" w14:paraId="701D80CF" w14:textId="77777777" w:rsidTr="00610055">
        <w:trPr>
          <w:trHeight w:val="25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887C" w14:textId="77777777" w:rsidR="00E47F70" w:rsidRPr="005E4AC5" w:rsidRDefault="00E47F70" w:rsidP="0061005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primary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1C83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A2D7C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FC98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E4B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52EB3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D5F7F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55624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61A" w14:textId="77777777" w:rsidR="00E47F70" w:rsidRPr="005E4AC5" w:rsidRDefault="00E47F70" w:rsidP="0061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022E91CD" w14:textId="1C974113" w:rsidR="00045C3B" w:rsidRDefault="00045C3B" w:rsidP="00E47F70">
      <w:pPr>
        <w:pStyle w:val="NoSpacing"/>
        <w:rPr>
          <w:sz w:val="18"/>
          <w:vertAlign w:val="superscript"/>
        </w:rPr>
      </w:pPr>
      <w:r w:rsidRPr="00C45526">
        <w:rPr>
          <w:rFonts w:ascii="Arial" w:hAnsi="Arial" w:cs="Arial"/>
          <w:color w:val="000000"/>
          <w:sz w:val="16"/>
        </w:rPr>
        <w:t xml:space="preserve">*All regressions are weighted using the following weight calculation: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16"/>
                <w:szCs w:val="16"/>
              </w:rPr>
            </m:ctrlPr>
          </m:sSubPr>
          <m:e>
            <m:r>
              <w:rPr>
                <w:rFonts w:ascii="Cambria Math" w:hAnsi="Cambria Math" w:cs="Arial"/>
                <w:sz w:val="16"/>
                <w:szCs w:val="16"/>
              </w:rPr>
              <m:t>weight</m:t>
            </m:r>
          </m:e>
          <m:sub>
            <m:r>
              <w:rPr>
                <w:rFonts w:ascii="Cambria Math" w:hAnsi="Cambria Math" w:cs="Arial"/>
                <w:sz w:val="16"/>
                <w:szCs w:val="16"/>
              </w:rPr>
              <m:t>ik</m:t>
            </m:r>
          </m:sub>
        </m:sSub>
        <m:r>
          <w:rPr>
            <w:rFonts w:ascii="Cambria Math" w:hAnsi="Cambria Math" w:cs="Arial"/>
            <w:sz w:val="16"/>
            <w:szCs w:val="16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iCs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k,total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32</m:t>
                    </m:r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Arial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16"/>
                    <w:szCs w:val="16"/>
                  </w:rPr>
                  <m:t>ik</m:t>
                </m:r>
              </m:sub>
            </m:sSub>
          </m:den>
        </m:f>
        <m:r>
          <w:rPr>
            <w:rFonts w:ascii="Cambria Math" w:hAnsi="Cambria Math" w:cs="Arial"/>
            <w:sz w:val="16"/>
            <w:szCs w:val="16"/>
          </w:rPr>
          <m:t>,</m:t>
        </m:r>
        <m:r>
          <m:rPr>
            <m:sty m:val="p"/>
          </m:rPr>
          <w:rPr>
            <w:rFonts w:ascii="Cambria Math" w:hAnsi="Cambria Math"/>
            <w:sz w:val="16"/>
            <w:szCs w:val="16"/>
            <w:lang w:val="en-GB"/>
          </w:rPr>
          <m:t xml:space="preserve"> </m:t>
        </m:r>
      </m:oMath>
      <w:r w:rsidRPr="007606E6">
        <w:rPr>
          <w:rFonts w:ascii="Arial" w:hAnsi="Arial" w:cs="Arial"/>
          <w:sz w:val="16"/>
          <w:szCs w:val="16"/>
          <w:lang w:val="en-GB"/>
        </w:rPr>
        <w:t xml:space="preserve">where </w:t>
      </w:r>
      <w:proofErr w:type="spellStart"/>
      <w:r w:rsidRPr="00C65D8A">
        <w:rPr>
          <w:rFonts w:ascii="Arial" w:hAnsi="Arial" w:cs="Arial"/>
          <w:sz w:val="16"/>
          <w:szCs w:val="16"/>
          <w:lang w:val="en-GB"/>
        </w:rPr>
        <w:t>i</w:t>
      </w:r>
      <w:proofErr w:type="spellEnd"/>
      <w:r w:rsidRPr="00C65D8A">
        <w:rPr>
          <w:rFonts w:ascii="Arial" w:hAnsi="Arial" w:cs="Arial"/>
          <w:sz w:val="16"/>
          <w:szCs w:val="16"/>
          <w:lang w:val="en-GB"/>
        </w:rPr>
        <w:t>=1,…,32 indicates CU and k=</w:t>
      </w:r>
      <w:r w:rsidRPr="00D52109">
        <w:rPr>
          <w:rFonts w:ascii="Arial" w:hAnsi="Arial" w:cs="Arial"/>
          <w:sz w:val="16"/>
          <w:szCs w:val="16"/>
          <w:lang w:val="en-GB"/>
        </w:rPr>
        <w:t xml:space="preserve">1, 2, 3 indicates </w:t>
      </w:r>
      <w:r w:rsidRPr="007606E6">
        <w:rPr>
          <w:rFonts w:ascii="Arial" w:hAnsi="Arial" w:cs="Arial"/>
          <w:sz w:val="16"/>
          <w:szCs w:val="16"/>
          <w:lang w:val="en-GB"/>
        </w:rPr>
        <w:t>6-months, 12-months, and 18-months</w:t>
      </w:r>
      <w:r>
        <w:rPr>
          <w:rFonts w:ascii="Arial" w:hAnsi="Arial" w:cs="Arial"/>
          <w:sz w:val="16"/>
          <w:szCs w:val="16"/>
          <w:lang w:val="en-GB"/>
        </w:rPr>
        <w:t>,</w:t>
      </w:r>
      <w:r w:rsidRPr="007606E6">
        <w:rPr>
          <w:rFonts w:ascii="Arial" w:hAnsi="Arial" w:cs="Arial"/>
          <w:sz w:val="16"/>
          <w:szCs w:val="16"/>
          <w:lang w:val="en-GB"/>
        </w:rPr>
        <w:t xml:space="preserve"> respectively</w:t>
      </w:r>
      <w:r>
        <w:rPr>
          <w:rFonts w:ascii="Arial" w:hAnsi="Arial" w:cs="Arial"/>
          <w:color w:val="000000"/>
          <w:sz w:val="16"/>
        </w:rPr>
        <w:t xml:space="preserve">. </w:t>
      </w:r>
    </w:p>
    <w:p w14:paraId="36E37C56" w14:textId="77777777" w:rsidR="00E47F70" w:rsidRDefault="00E47F70" w:rsidP="00E47F70">
      <w:pPr>
        <w:pStyle w:val="NoSpacing"/>
        <w:rPr>
          <w:sz w:val="18"/>
        </w:rPr>
      </w:pPr>
      <w:r w:rsidRPr="005E4AC5">
        <w:rPr>
          <w:sz w:val="18"/>
          <w:vertAlign w:val="superscript"/>
        </w:rPr>
        <w:lastRenderedPageBreak/>
        <w:t>1</w:t>
      </w:r>
      <w:r w:rsidRPr="005E4AC5">
        <w:rPr>
          <w:sz w:val="18"/>
        </w:rPr>
        <w:t>Between</w:t>
      </w:r>
      <w:r>
        <w:rPr>
          <w:sz w:val="18"/>
        </w:rPr>
        <w:t>-arm</w:t>
      </w:r>
      <w:r w:rsidRPr="005E4AC5">
        <w:rPr>
          <w:sz w:val="18"/>
        </w:rPr>
        <w:t xml:space="preserve"> differences expressed as relative risks and risk differences</w:t>
      </w:r>
      <w:r>
        <w:rPr>
          <w:sz w:val="18"/>
        </w:rPr>
        <w:t>.</w:t>
      </w:r>
      <w:r w:rsidRPr="005E4AC5">
        <w:rPr>
          <w:sz w:val="18"/>
        </w:rPr>
        <w:t xml:space="preserve"> Relative risk estimated with Modified Poisson regression using generalized estimating equations (GEE) with independence working correlation matrix (clustered at the CU level) and robust standard errors</w:t>
      </w:r>
      <w:r>
        <w:rPr>
          <w:sz w:val="18"/>
        </w:rPr>
        <w:t>.</w:t>
      </w:r>
      <w:r w:rsidRPr="005E4AC5">
        <w:rPr>
          <w:sz w:val="18"/>
        </w:rPr>
        <w:t xml:space="preserve"> Risk differences estimated with binomial regression using an identity link function, GEE with independence working correlation and robust standard errors (clustered at the CU level)</w:t>
      </w:r>
      <w:r>
        <w:rPr>
          <w:sz w:val="18"/>
        </w:rPr>
        <w:t>.</w:t>
      </w:r>
    </w:p>
    <w:p w14:paraId="5025C1E3" w14:textId="77777777" w:rsidR="00E47F70" w:rsidRPr="005E4D6A" w:rsidRDefault="00E47F70" w:rsidP="00E47F70">
      <w:pPr>
        <w:pStyle w:val="NoSpacing"/>
        <w:rPr>
          <w:sz w:val="18"/>
        </w:rPr>
      </w:pPr>
      <w:r w:rsidRPr="0062199F">
        <w:rPr>
          <w:sz w:val="18"/>
          <w:vertAlign w:val="superscript"/>
        </w:rPr>
        <w:t>2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Estimated values correspond to estimation proportions.</w:t>
      </w:r>
    </w:p>
    <w:p w14:paraId="538C08B7" w14:textId="77777777" w:rsidR="0096458E" w:rsidRDefault="00E47F70" w:rsidP="00E47F70">
      <w:r w:rsidRPr="005E4D6A">
        <w:rPr>
          <w:sz w:val="18"/>
          <w:vertAlign w:val="superscript"/>
        </w:rPr>
        <w:t>3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Log baseline proportion for relative risk regressions, raw baseline proportion for risk difference regressions</w:t>
      </w:r>
      <w:r w:rsidRPr="0062199F">
        <w:rPr>
          <w:sz w:val="18"/>
          <w:vertAlign w:val="superscript"/>
        </w:rPr>
        <w:tab/>
      </w:r>
    </w:p>
    <w:sectPr w:rsidR="0096458E" w:rsidSect="0092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0"/>
    <w:rsid w:val="00045C3B"/>
    <w:rsid w:val="00377C26"/>
    <w:rsid w:val="003F7FB3"/>
    <w:rsid w:val="00492D9D"/>
    <w:rsid w:val="006253A1"/>
    <w:rsid w:val="009228BD"/>
    <w:rsid w:val="009843C6"/>
    <w:rsid w:val="00B128BB"/>
    <w:rsid w:val="00B812FC"/>
    <w:rsid w:val="00C47CE4"/>
    <w:rsid w:val="00E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37D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Meier</dc:creator>
  <cp:keywords/>
  <dc:description/>
  <cp:lastModifiedBy>Wendy Prudhomme O'Meara</cp:lastModifiedBy>
  <cp:revision>6</cp:revision>
  <cp:lastPrinted>2018-05-29T19:11:00Z</cp:lastPrinted>
  <dcterms:created xsi:type="dcterms:W3CDTF">2018-05-29T17:18:00Z</dcterms:created>
  <dcterms:modified xsi:type="dcterms:W3CDTF">2018-05-30T03:01:00Z</dcterms:modified>
</cp:coreProperties>
</file>