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225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80" w:type="dxa"/>
          <w:left w:w="80" w:type="dxa"/>
          <w:bottom w:w="80" w:type="dxa"/>
          <w:right w:w="80" w:type="dxa"/>
        </w:tblCellMar>
      </w:tblPr>
      <w:tblGrid>
        <w:gridCol w:w="813"/>
        <w:gridCol w:w="1475"/>
        <w:gridCol w:w="1775"/>
        <w:gridCol w:w="1725"/>
        <w:gridCol w:w="1587"/>
        <w:gridCol w:w="1563"/>
        <w:gridCol w:w="1426"/>
      </w:tblGrid>
      <w:tr>
        <w:trPr>
          <w:tblHeader w:val="true"/>
          <w:trHeight w:val="1255" w:hRule="atLeast"/>
          <w:cantSplit w:val="false"/>
        </w:trPr>
        <w:tc>
          <w:tcPr>
            <w:tcW w:w="8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U.S. States</w:t>
            </w:r>
          </w:p>
        </w:tc>
        <w:tc>
          <w:tcPr>
            <w:tcW w:w="1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Overall full-term infant mortality</w:t>
            </w:r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Full-term infant mortality due to congenital malformations</w:t>
            </w:r>
          </w:p>
        </w:tc>
        <w:tc>
          <w:tcPr>
            <w:tcW w:w="172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Full-term infant mortality due to perinatal conditions</w:t>
            </w:r>
          </w:p>
        </w:tc>
        <w:tc>
          <w:tcPr>
            <w:tcW w:w="15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Full-term infant mortality due to SUDI</w:t>
            </w:r>
          </w:p>
        </w:tc>
        <w:tc>
          <w:tcPr>
            <w:tcW w:w="15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Full-term infant mortality due to other causes</w:t>
            </w:r>
          </w:p>
        </w:tc>
        <w:tc>
          <w:tcPr>
            <w:tcW w:w="142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Total number of live births</w:t>
            </w:r>
          </w:p>
        </w:tc>
      </w:tr>
      <w:tr>
        <w:trPr>
          <w:trHeight w:val="227" w:hRule="atLeast"/>
          <w:cantSplit w:val="false"/>
        </w:trPr>
        <w:tc>
          <w:tcPr>
            <w:tcW w:w="81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CT</w:t>
            </w:r>
          </w:p>
        </w:tc>
        <w:tc>
          <w:tcPr>
            <w:tcW w:w="147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12.88</w:t>
            </w:r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3.17</w:t>
            </w:r>
          </w:p>
        </w:tc>
        <w:tc>
          <w:tcPr>
            <w:tcW w:w="172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1.78</w:t>
            </w:r>
          </w:p>
        </w:tc>
        <w:tc>
          <w:tcPr>
            <w:tcW w:w="158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5.45</w:t>
            </w:r>
          </w:p>
        </w:tc>
        <w:tc>
          <w:tcPr>
            <w:tcW w:w="156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2.48</w:t>
            </w:r>
          </w:p>
        </w:tc>
        <w:tc>
          <w:tcPr>
            <w:tcW w:w="1426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100,900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NJ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13.15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3.71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263,943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13.69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5.83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34,331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14.78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4.68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6.05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190,124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15.73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2.76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47,058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15.86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629,695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VT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16.07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14,938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CA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16.68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5.37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1,337,504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NV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16.7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5.76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6.56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86,844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17.29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7.28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179,854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RI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17.98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4.33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9.66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30,027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19.69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6.86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6.98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177,764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CO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20.47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171,924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IA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20.55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5.87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98,785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IL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20.72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5.55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3.69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401,578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WA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20.99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6.54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226,319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21.19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7.36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3.38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67,963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OR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21.32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119,590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AK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21.43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10.88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29,402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FL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21.51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532,857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ID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21.54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6.32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8.89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58,508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UT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21.57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137,236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WI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21.58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9.27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174,685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DC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21.79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9.46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6.02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34,877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21.79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7.86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67,447</w:t>
            </w:r>
          </w:p>
        </w:tc>
      </w:tr>
      <w:tr>
        <w:trPr>
          <w:trHeight w:val="22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TX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21.91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7.47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990,101</w:t>
            </w:r>
          </w:p>
        </w:tc>
      </w:tr>
      <w:tr>
        <w:trPr>
          <w:trHeight w:val="21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22.35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7.36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3.39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256,801</w:t>
            </w:r>
          </w:p>
        </w:tc>
      </w:tr>
      <w:tr>
        <w:trPr>
          <w:trHeight w:val="22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AZ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22.54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221,820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GA</w:t>
            </w:r>
          </w:p>
        </w:tc>
        <w:tc>
          <w:tcPr>
            <w:tcW w:w="1475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23.07</w:t>
            </w:r>
          </w:p>
        </w:tc>
        <w:tc>
          <w:tcPr>
            <w:tcW w:w="1775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5.95</w:t>
            </w:r>
          </w:p>
        </w:tc>
        <w:tc>
          <w:tcPr>
            <w:tcW w:w="1725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2.61</w:t>
            </w:r>
          </w:p>
        </w:tc>
        <w:tc>
          <w:tcPr>
            <w:tcW w:w="1587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11.4</w:t>
            </w:r>
          </w:p>
        </w:tc>
        <w:tc>
          <w:tcPr>
            <w:tcW w:w="1563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3.11</w:t>
            </w:r>
          </w:p>
        </w:tc>
        <w:tc>
          <w:tcPr>
            <w:tcW w:w="1426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341,208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23.36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6.61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10.77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3.08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286,002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KS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23.55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12.01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106,582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PA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24.29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7.77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9.89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3.67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368,108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25.16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10.73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304,849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ND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25.38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16.21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28,373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25.99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4.55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16.25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2.27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30,778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SC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26.69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6.44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13.75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136,742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27.29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11.69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194,956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IN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27.38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11.08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4.53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218,404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WY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27.55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3.86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15.43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18,151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27.62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14.73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3.38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32,590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28.31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28,960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KY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28.53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1.95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14.19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4.28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133,180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OH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29.04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13.1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353,314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SD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29.27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7.78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12.45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4.67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32,117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WV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31.1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7.92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15.64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53,054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TN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31.23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8.33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17.17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3.16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214,860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31.23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8.48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141,508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OK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31.27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8.54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17.15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3.26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128,873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LA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31.52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7.52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15.43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6.34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152,924</w:t>
            </w:r>
          </w:p>
        </w:tc>
      </w:tr>
      <w:tr>
        <w:trPr>
          <w:trHeight w:val="232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AR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33.54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9.63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2.43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17.46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94,528</w:t>
            </w:r>
          </w:p>
        </w:tc>
      </w:tr>
      <w:tr>
        <w:trPr>
          <w:trHeight w:val="227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BodyA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MS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37.71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19.88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4.43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BodyA"/>
              <w:jc w:val="center"/>
              <w:rPr>
                <w:color w:val="000000"/>
                <w:sz w:val="20"/>
                <w:szCs w:val="20"/>
                <w:u w:val="none" w:color="000000"/>
                <w:lang w:val="en-US"/>
              </w:rPr>
            </w:pPr>
            <w:r>
              <w:rPr>
                <w:color w:val="000000"/>
                <w:sz w:val="20"/>
                <w:szCs w:val="20"/>
                <w:u w:val="none" w:color="000000"/>
                <w:lang w:val="en-US"/>
              </w:rPr>
              <w:t>92,54</w:t>
            </w:r>
          </w:p>
        </w:tc>
      </w:tr>
    </w:tbl>
    <w:p>
      <w:pPr>
        <w:pStyle w:val="BodyAA"/>
        <w:spacing w:lineRule="auto" w:line="240" w:before="0" w:after="0"/>
        <w:rPr/>
      </w:pPr>
      <w:r>
        <w:rPr/>
      </w:r>
    </w:p>
    <w:p>
      <w:pPr>
        <w:pStyle w:val="BodyAA"/>
        <w:spacing w:lineRule="auto" w:line="240" w:before="0"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>Notes</w:t>
      </w:r>
      <w:r>
        <w:rPr>
          <w:rFonts w:ascii="Times New Roman" w:hAnsi="Times New Roman"/>
          <w:sz w:val="20"/>
          <w:szCs w:val="20"/>
          <w:lang w:val="en-US"/>
        </w:rPr>
        <w:t>: Based on the pooled sample covering all full-term infants born in the United States between 2010 and 2012. The following ICD-10 causes of death were included in each group:  Congenital malformations: Q00-Q99; SUDI: V01-Y89 and R00-R99, Perinatal conditions: P00-P96; Other: all other causes.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/>
    </w:pPr>
    <w:r>
      <w:rPr/>
    </w:r>
  </w:p>
  <w:p>
    <w:pPr>
      <w:pStyle w:val="BodyA"/>
      <w:bidi w:val="0"/>
      <w:jc w:val="left"/>
      <w:rPr>
        <w:b/>
        <w:bCs/>
        <w:lang w:val="en-US"/>
      </w:rPr>
    </w:pPr>
    <w:r>
      <w:rPr>
        <w:b/>
        <w:bCs/>
        <w:lang w:val="en-US"/>
      </w:rPr>
      <w:t>S2 Table: State-specific Mortality Rates per 10,000 Full-term Live Births</w:t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Footer">
    <w:name w:val="Header &amp; Footer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paragraph" w:styleId="BodyA">
    <w:name w:val="Body A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fr-FR" w:eastAsia="zh-CN" w:bidi="hi-IN"/>
    </w:rPr>
  </w:style>
  <w:style w:type="paragraph" w:styleId="BodyAA">
    <w:name w:val="Body A A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type="dxa" w:w="0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