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C" w:rsidRPr="00225159" w:rsidRDefault="00225159">
      <w:pPr>
        <w:rPr>
          <w:rFonts w:ascii="Times New Roman" w:hAnsi="Times New Roman" w:cs="Times New Roman"/>
        </w:rPr>
      </w:pPr>
      <w:r w:rsidRPr="00225159">
        <w:rPr>
          <w:rFonts w:ascii="Times New Roman" w:hAnsi="Times New Roman" w:cs="Times New Roman"/>
        </w:rPr>
        <w:t>The results</w:t>
      </w:r>
      <w:r w:rsidR="00FF6C1F">
        <w:rPr>
          <w:rFonts w:ascii="Times New Roman" w:hAnsi="Times New Roman" w:cs="Times New Roman"/>
        </w:rPr>
        <w:t xml:space="preserve"> (by stakeholder group)</w:t>
      </w:r>
      <w:r>
        <w:rPr>
          <w:rFonts w:ascii="Times New Roman" w:hAnsi="Times New Roman" w:cs="Times New Roman"/>
        </w:rPr>
        <w:t xml:space="preserve"> to round 2 of the Delphi survey were presented to 5 members of the COS-STAD Management Group (DA, JB, MC, PRW, </w:t>
      </w:r>
      <w:proofErr w:type="gramStart"/>
      <w:r>
        <w:rPr>
          <w:rFonts w:ascii="Times New Roman" w:hAnsi="Times New Roman" w:cs="Times New Roman"/>
        </w:rPr>
        <w:t>ST</w:t>
      </w:r>
      <w:proofErr w:type="gramEnd"/>
      <w:r>
        <w:rPr>
          <w:rFonts w:ascii="Times New Roman" w:hAnsi="Times New Roman" w:cs="Times New Roman"/>
        </w:rPr>
        <w:t>).  The</w:t>
      </w:r>
      <w:r w:rsidR="00FF6C1F">
        <w:rPr>
          <w:rFonts w:ascii="Times New Roman" w:hAnsi="Times New Roman" w:cs="Times New Roman"/>
        </w:rPr>
        <w:t xml:space="preserve"> eight items that reached the consensus criteria for all stakeholder groups following the Delphi exercise “</w:t>
      </w:r>
      <w:r w:rsidR="00FF6C1F" w:rsidRPr="00FF6C1F">
        <w:rPr>
          <w:rFonts w:ascii="Times New Roman" w:hAnsi="Times New Roman" w:cs="Times New Roman"/>
          <w:shd w:val="clear" w:color="auto" w:fill="92D050"/>
        </w:rPr>
        <w:t>Voted in at Delphi Stage</w:t>
      </w:r>
      <w:r w:rsidR="00FF6C1F">
        <w:rPr>
          <w:rFonts w:ascii="Times New Roman" w:hAnsi="Times New Roman" w:cs="Times New Roman"/>
        </w:rPr>
        <w:t>” were automatically included as minimum standards.  Of the remaining 12 item</w:t>
      </w:r>
      <w:r w:rsidR="00D8662F">
        <w:rPr>
          <w:rFonts w:ascii="Times New Roman" w:hAnsi="Times New Roman" w:cs="Times New Roman"/>
        </w:rPr>
        <w:t>s,</w:t>
      </w:r>
      <w:r w:rsidR="00FF6C1F">
        <w:rPr>
          <w:rFonts w:ascii="Times New Roman" w:hAnsi="Times New Roman" w:cs="Times New Roman"/>
        </w:rPr>
        <w:t xml:space="preserve"> the COS-STAD Management Group (MG) independently voted whether the item should be ‘IN’ or OUT’ in light of the Delphi results.  Two further items were included after the initial vote “</w:t>
      </w:r>
      <w:r w:rsidR="00FF6C1F" w:rsidRPr="00FF6C1F">
        <w:rPr>
          <w:rFonts w:ascii="Times New Roman" w:hAnsi="Times New Roman" w:cs="Times New Roman"/>
          <w:shd w:val="clear" w:color="auto" w:fill="FF0000"/>
        </w:rPr>
        <w:t>V</w:t>
      </w:r>
      <w:r w:rsidR="00FF6C1F" w:rsidRPr="00FF6C1F">
        <w:rPr>
          <w:rFonts w:ascii="Times New Roman" w:hAnsi="Times New Roman" w:cs="Times New Roman"/>
          <w:shd w:val="clear" w:color="auto" w:fill="FF0000"/>
        </w:rPr>
        <w:t>oted in after initial vote</w:t>
      </w:r>
      <w:r w:rsidR="00FF6C1F">
        <w:rPr>
          <w:rFonts w:ascii="Times New Roman" w:hAnsi="Times New Roman" w:cs="Times New Roman"/>
        </w:rPr>
        <w:t>” because all</w:t>
      </w:r>
      <w:r w:rsidR="000D6E67">
        <w:rPr>
          <w:rFonts w:ascii="Times New Roman" w:hAnsi="Times New Roman" w:cs="Times New Roman"/>
        </w:rPr>
        <w:t xml:space="preserve"> MG voted them</w:t>
      </w:r>
      <w:r w:rsidR="00FF6C1F">
        <w:rPr>
          <w:rFonts w:ascii="Times New Roman" w:hAnsi="Times New Roman" w:cs="Times New Roman"/>
        </w:rPr>
        <w:t xml:space="preserve"> in while six were excluded after the initial vote as all MG members voted them out </w:t>
      </w:r>
      <w:r w:rsidR="00FF6C1F">
        <w:rPr>
          <w:rFonts w:ascii="Times New Roman" w:hAnsi="Times New Roman" w:cs="Times New Roman"/>
        </w:rPr>
        <w:t>“</w:t>
      </w:r>
      <w:r w:rsidR="00FF6C1F" w:rsidRPr="00FF6C1F">
        <w:rPr>
          <w:rFonts w:ascii="Times New Roman" w:hAnsi="Times New Roman" w:cs="Times New Roman"/>
          <w:shd w:val="clear" w:color="auto" w:fill="FFFF00"/>
        </w:rPr>
        <w:t>Voted out after initial vote</w:t>
      </w:r>
      <w:r w:rsidR="00FF6C1F">
        <w:rPr>
          <w:rFonts w:ascii="Times New Roman" w:hAnsi="Times New Roman" w:cs="Times New Roman"/>
        </w:rPr>
        <w:t>”</w:t>
      </w:r>
      <w:r w:rsidR="00FF6C1F">
        <w:rPr>
          <w:rFonts w:ascii="Times New Roman" w:hAnsi="Times New Roman" w:cs="Times New Roman"/>
        </w:rPr>
        <w:t>.</w:t>
      </w:r>
      <w:r w:rsidR="005D2648">
        <w:rPr>
          <w:rFonts w:ascii="Times New Roman" w:hAnsi="Times New Roman" w:cs="Times New Roman"/>
        </w:rPr>
        <w:t xml:space="preserve">  The remaining four items where some MG members voted ‘IN’ and others voted ‘OUT’ were discussed further and reasons for their initial decision documented.  Following discussion, three of the remaining </w:t>
      </w:r>
      <w:r w:rsidR="00D8662F">
        <w:rPr>
          <w:rFonts w:ascii="Times New Roman" w:hAnsi="Times New Roman" w:cs="Times New Roman"/>
        </w:rPr>
        <w:t>items were</w:t>
      </w:r>
      <w:r w:rsidR="005D2648">
        <w:rPr>
          <w:rFonts w:ascii="Times New Roman" w:hAnsi="Times New Roman" w:cs="Times New Roman"/>
        </w:rPr>
        <w:t xml:space="preserve"> voted out while a further item was voted in. The final decision reflected the initial decision of the majority, and those that </w:t>
      </w:r>
      <w:r w:rsidR="00D8662F">
        <w:rPr>
          <w:rFonts w:ascii="Times New Roman" w:hAnsi="Times New Roman" w:cs="Times New Roman"/>
        </w:rPr>
        <w:t>initially</w:t>
      </w:r>
      <w:r w:rsidR="005D2648">
        <w:rPr>
          <w:rFonts w:ascii="Times New Roman" w:hAnsi="Times New Roman" w:cs="Times New Roman"/>
        </w:rPr>
        <w:t xml:space="preserve"> voted in the opposite </w:t>
      </w:r>
      <w:r w:rsidR="000D6E67">
        <w:rPr>
          <w:rFonts w:ascii="Times New Roman" w:hAnsi="Times New Roman" w:cs="Times New Roman"/>
        </w:rPr>
        <w:t>direction had</w:t>
      </w:r>
      <w:r w:rsidR="005D2648">
        <w:rPr>
          <w:rFonts w:ascii="Times New Roman" w:hAnsi="Times New Roman" w:cs="Times New Roman"/>
        </w:rPr>
        <w:t xml:space="preserve"> no strong feelings</w:t>
      </w:r>
      <w:bookmarkStart w:id="0" w:name="_GoBack"/>
      <w:bookmarkEnd w:id="0"/>
      <w:r w:rsidR="005D2648">
        <w:rPr>
          <w:rFonts w:ascii="Times New Roman" w:hAnsi="Times New Roman" w:cs="Times New Roman"/>
        </w:rPr>
        <w:t xml:space="preserve">.   Red text indicates the final </w:t>
      </w:r>
      <w:r w:rsidR="00D8662F">
        <w:rPr>
          <w:rFonts w:ascii="Times New Roman" w:hAnsi="Times New Roman" w:cs="Times New Roman"/>
        </w:rPr>
        <w:t>minimum</w:t>
      </w:r>
      <w:r w:rsidR="005D2648">
        <w:rPr>
          <w:rFonts w:ascii="Times New Roman" w:hAnsi="Times New Roman" w:cs="Times New Roman"/>
        </w:rPr>
        <w:t xml:space="preserve"> standards.</w:t>
      </w:r>
    </w:p>
    <w:tbl>
      <w:tblPr>
        <w:tblStyle w:val="TableGrid"/>
        <w:tblW w:w="21513" w:type="dxa"/>
        <w:tblLook w:val="04A0" w:firstRow="1" w:lastRow="0" w:firstColumn="1" w:lastColumn="0" w:noHBand="0" w:noVBand="1"/>
      </w:tblPr>
      <w:tblGrid>
        <w:gridCol w:w="7456"/>
        <w:gridCol w:w="782"/>
        <w:gridCol w:w="835"/>
        <w:gridCol w:w="838"/>
        <w:gridCol w:w="684"/>
        <w:gridCol w:w="733"/>
        <w:gridCol w:w="773"/>
        <w:gridCol w:w="930"/>
        <w:gridCol w:w="402"/>
        <w:gridCol w:w="664"/>
        <w:gridCol w:w="612"/>
        <w:gridCol w:w="790"/>
        <w:gridCol w:w="449"/>
        <w:gridCol w:w="957"/>
        <w:gridCol w:w="261"/>
        <w:gridCol w:w="1344"/>
        <w:gridCol w:w="3003"/>
      </w:tblGrid>
      <w:tr w:rsidR="00225159" w:rsidRPr="00225159" w:rsidTr="00FF6C1F">
        <w:trPr>
          <w:trHeight w:val="300"/>
        </w:trPr>
        <w:tc>
          <w:tcPr>
            <w:tcW w:w="7456" w:type="dxa"/>
            <w:vMerge w:val="restart"/>
            <w:shd w:val="clear" w:color="auto" w:fill="1F497D" w:themeFill="text2"/>
            <w:hideMark/>
          </w:tcPr>
          <w:p w:rsidR="00225159" w:rsidRPr="00225159" w:rsidRDefault="00225159" w:rsidP="0022515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25159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Items</w:t>
            </w:r>
          </w:p>
        </w:tc>
        <w:tc>
          <w:tcPr>
            <w:tcW w:w="4645" w:type="dxa"/>
            <w:gridSpan w:val="6"/>
            <w:shd w:val="clear" w:color="auto" w:fill="1F497D" w:themeFill="text2"/>
            <w:noWrap/>
            <w:hideMark/>
          </w:tcPr>
          <w:p w:rsidR="00225159" w:rsidRPr="00225159" w:rsidRDefault="00225159" w:rsidP="0022515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25159">
              <w:rPr>
                <w:rFonts w:ascii="Arial" w:hAnsi="Arial" w:cs="Arial"/>
                <w:color w:val="FFFFFF" w:themeColor="background1"/>
              </w:rPr>
              <w:t>% SCORING 7 - 9 BY STAKEHOLDER GROUP (Round 2 of Delphi Survey)</w:t>
            </w:r>
          </w:p>
        </w:tc>
        <w:tc>
          <w:tcPr>
            <w:tcW w:w="9412" w:type="dxa"/>
            <w:gridSpan w:val="10"/>
            <w:noWrap/>
            <w:hideMark/>
          </w:tcPr>
          <w:p w:rsidR="00225159" w:rsidRPr="00225159" w:rsidRDefault="00225159"/>
        </w:tc>
      </w:tr>
      <w:tr w:rsidR="00FF6C1F" w:rsidRPr="00225159" w:rsidTr="005D2648">
        <w:trPr>
          <w:trHeight w:val="1924"/>
        </w:trPr>
        <w:tc>
          <w:tcPr>
            <w:tcW w:w="7456" w:type="dxa"/>
            <w:vMerge/>
            <w:shd w:val="clear" w:color="auto" w:fill="1F497D" w:themeFill="text2"/>
            <w:hideMark/>
          </w:tcPr>
          <w:p w:rsidR="00FF6C1F" w:rsidRPr="00225159" w:rsidRDefault="00FF6C1F">
            <w:pPr>
              <w:rPr>
                <w:b/>
                <w:bCs/>
              </w:rPr>
            </w:pPr>
          </w:p>
        </w:tc>
        <w:tc>
          <w:tcPr>
            <w:tcW w:w="782" w:type="dxa"/>
            <w:noWrap/>
            <w:textDirection w:val="btLr"/>
            <w:vAlign w:val="center"/>
            <w:hideMark/>
          </w:tcPr>
          <w:p w:rsidR="00FF6C1F" w:rsidRPr="00225159" w:rsidRDefault="00FF6C1F" w:rsidP="00225159">
            <w:pPr>
              <w:jc w:val="center"/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COS Developers</w:t>
            </w:r>
          </w:p>
        </w:tc>
        <w:tc>
          <w:tcPr>
            <w:tcW w:w="835" w:type="dxa"/>
            <w:noWrap/>
            <w:textDirection w:val="btLr"/>
            <w:vAlign w:val="center"/>
            <w:hideMark/>
          </w:tcPr>
          <w:p w:rsidR="00FF6C1F" w:rsidRPr="00225159" w:rsidRDefault="00FF6C1F" w:rsidP="00225159">
            <w:pPr>
              <w:jc w:val="center"/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Journal Editors</w:t>
            </w:r>
          </w:p>
        </w:tc>
        <w:tc>
          <w:tcPr>
            <w:tcW w:w="838" w:type="dxa"/>
            <w:noWrap/>
            <w:textDirection w:val="btLr"/>
            <w:vAlign w:val="center"/>
            <w:hideMark/>
          </w:tcPr>
          <w:p w:rsidR="00FF6C1F" w:rsidRPr="00225159" w:rsidRDefault="00FF6C1F" w:rsidP="00225159">
            <w:pPr>
              <w:jc w:val="center"/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Systematic Reviewers</w:t>
            </w:r>
          </w:p>
        </w:tc>
        <w:tc>
          <w:tcPr>
            <w:tcW w:w="684" w:type="dxa"/>
            <w:noWrap/>
            <w:textDirection w:val="btLr"/>
            <w:vAlign w:val="center"/>
            <w:hideMark/>
          </w:tcPr>
          <w:p w:rsidR="00FF6C1F" w:rsidRPr="00225159" w:rsidRDefault="00FF6C1F" w:rsidP="00225159">
            <w:pPr>
              <w:jc w:val="center"/>
              <w:rPr>
                <w:rFonts w:ascii="Arial" w:hAnsi="Arial" w:cs="Arial"/>
              </w:rPr>
            </w:pPr>
            <w:proofErr w:type="spellStart"/>
            <w:r w:rsidRPr="00225159">
              <w:rPr>
                <w:rFonts w:ascii="Arial" w:hAnsi="Arial" w:cs="Arial"/>
              </w:rPr>
              <w:t>Trialists</w:t>
            </w:r>
            <w:proofErr w:type="spellEnd"/>
          </w:p>
        </w:tc>
        <w:tc>
          <w:tcPr>
            <w:tcW w:w="733" w:type="dxa"/>
            <w:noWrap/>
            <w:textDirection w:val="btLr"/>
            <w:vAlign w:val="center"/>
            <w:hideMark/>
          </w:tcPr>
          <w:p w:rsidR="00FF6C1F" w:rsidRPr="00225159" w:rsidRDefault="00FF6C1F" w:rsidP="00225159">
            <w:pPr>
              <w:jc w:val="center"/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Guideline Developers</w:t>
            </w:r>
          </w:p>
        </w:tc>
        <w:tc>
          <w:tcPr>
            <w:tcW w:w="773" w:type="dxa"/>
            <w:noWrap/>
            <w:textDirection w:val="btLr"/>
            <w:vAlign w:val="center"/>
            <w:hideMark/>
          </w:tcPr>
          <w:p w:rsidR="00FF6C1F" w:rsidRPr="00225159" w:rsidRDefault="00FF6C1F" w:rsidP="00225159">
            <w:pPr>
              <w:jc w:val="center"/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Patient Representatives</w:t>
            </w:r>
          </w:p>
        </w:tc>
        <w:tc>
          <w:tcPr>
            <w:tcW w:w="6409" w:type="dxa"/>
            <w:gridSpan w:val="9"/>
            <w:noWrap/>
            <w:vAlign w:val="center"/>
            <w:hideMark/>
          </w:tcPr>
          <w:p w:rsidR="00FF6C1F" w:rsidRPr="00225159" w:rsidRDefault="00FF6C1F" w:rsidP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COS STAD Management Group</w:t>
            </w:r>
          </w:p>
        </w:tc>
        <w:tc>
          <w:tcPr>
            <w:tcW w:w="3003" w:type="dxa"/>
            <w:noWrap/>
            <w:hideMark/>
          </w:tcPr>
          <w:p w:rsidR="00FF6C1F" w:rsidRPr="00225159" w:rsidRDefault="00FF6C1F"/>
        </w:tc>
      </w:tr>
      <w:tr w:rsidR="00FF6C1F" w:rsidRPr="00225159" w:rsidTr="00FF6C1F">
        <w:trPr>
          <w:trHeight w:val="300"/>
        </w:trPr>
        <w:tc>
          <w:tcPr>
            <w:tcW w:w="7456" w:type="dxa"/>
            <w:shd w:val="clear" w:color="auto" w:fill="00B0F0"/>
            <w:hideMark/>
          </w:tcPr>
          <w:p w:rsidR="00FF6C1F" w:rsidRPr="00225159" w:rsidRDefault="00FF6C1F">
            <w:pPr>
              <w:rPr>
                <w:rFonts w:ascii="Arial" w:hAnsi="Arial" w:cs="Arial"/>
                <w:b/>
                <w:bCs/>
              </w:rPr>
            </w:pPr>
            <w:r w:rsidRPr="00225159">
              <w:rPr>
                <w:rFonts w:ascii="Arial" w:hAnsi="Arial" w:cs="Arial"/>
                <w:b/>
                <w:bCs/>
              </w:rPr>
              <w:t>SCOPE</w:t>
            </w:r>
          </w:p>
        </w:tc>
        <w:tc>
          <w:tcPr>
            <w:tcW w:w="782" w:type="dxa"/>
            <w:noWrap/>
            <w:hideMark/>
          </w:tcPr>
          <w:p w:rsidR="00FF6C1F" w:rsidRPr="00225159" w:rsidRDefault="00FF6C1F" w:rsidP="00225159">
            <w:r w:rsidRPr="00225159">
              <w:t>n=103</w:t>
            </w:r>
          </w:p>
        </w:tc>
        <w:tc>
          <w:tcPr>
            <w:tcW w:w="835" w:type="dxa"/>
            <w:noWrap/>
            <w:hideMark/>
          </w:tcPr>
          <w:p w:rsidR="00FF6C1F" w:rsidRPr="00225159" w:rsidRDefault="00FF6C1F" w:rsidP="00225159">
            <w:r w:rsidRPr="00225159">
              <w:t>n=36</w:t>
            </w:r>
          </w:p>
        </w:tc>
        <w:tc>
          <w:tcPr>
            <w:tcW w:w="838" w:type="dxa"/>
            <w:noWrap/>
            <w:hideMark/>
          </w:tcPr>
          <w:p w:rsidR="00FF6C1F" w:rsidRPr="00225159" w:rsidRDefault="00FF6C1F" w:rsidP="00225159">
            <w:r w:rsidRPr="00225159">
              <w:t>n=31</w:t>
            </w:r>
          </w:p>
        </w:tc>
        <w:tc>
          <w:tcPr>
            <w:tcW w:w="684" w:type="dxa"/>
            <w:noWrap/>
            <w:hideMark/>
          </w:tcPr>
          <w:p w:rsidR="00FF6C1F" w:rsidRPr="00225159" w:rsidRDefault="00FF6C1F" w:rsidP="00225159">
            <w:r w:rsidRPr="00225159">
              <w:t>n=41</w:t>
            </w:r>
          </w:p>
        </w:tc>
        <w:tc>
          <w:tcPr>
            <w:tcW w:w="733" w:type="dxa"/>
            <w:noWrap/>
            <w:hideMark/>
          </w:tcPr>
          <w:p w:rsidR="00FF6C1F" w:rsidRPr="00225159" w:rsidRDefault="00FF6C1F" w:rsidP="00225159">
            <w:r w:rsidRPr="00225159">
              <w:t>n=11</w:t>
            </w:r>
          </w:p>
        </w:tc>
        <w:tc>
          <w:tcPr>
            <w:tcW w:w="773" w:type="dxa"/>
            <w:noWrap/>
            <w:hideMark/>
          </w:tcPr>
          <w:p w:rsidR="00FF6C1F" w:rsidRPr="00225159" w:rsidRDefault="00FF6C1F" w:rsidP="00225159">
            <w:r w:rsidRPr="00225159">
              <w:t>n=11</w:t>
            </w:r>
          </w:p>
        </w:tc>
        <w:tc>
          <w:tcPr>
            <w:tcW w:w="1332" w:type="dxa"/>
            <w:gridSpan w:val="2"/>
            <w:noWrap/>
            <w:hideMark/>
          </w:tcPr>
          <w:p w:rsidR="00FF6C1F" w:rsidRPr="00225159" w:rsidRDefault="00FF6C1F" w:rsidP="00225159">
            <w:r w:rsidRPr="00225159">
              <w:t>Member 1</w:t>
            </w:r>
          </w:p>
        </w:tc>
        <w:tc>
          <w:tcPr>
            <w:tcW w:w="1276" w:type="dxa"/>
            <w:gridSpan w:val="2"/>
            <w:noWrap/>
            <w:hideMark/>
          </w:tcPr>
          <w:p w:rsidR="00FF6C1F" w:rsidRPr="00225159" w:rsidRDefault="00FF6C1F" w:rsidP="00225159">
            <w:r w:rsidRPr="00225159">
              <w:t>Member 2</w:t>
            </w:r>
          </w:p>
        </w:tc>
        <w:tc>
          <w:tcPr>
            <w:tcW w:w="1239" w:type="dxa"/>
            <w:gridSpan w:val="2"/>
            <w:noWrap/>
            <w:hideMark/>
          </w:tcPr>
          <w:p w:rsidR="00FF6C1F" w:rsidRPr="00225159" w:rsidRDefault="00FF6C1F" w:rsidP="00225159">
            <w:r w:rsidRPr="00225159">
              <w:t>Member 3</w:t>
            </w:r>
          </w:p>
        </w:tc>
        <w:tc>
          <w:tcPr>
            <w:tcW w:w="1218" w:type="dxa"/>
            <w:gridSpan w:val="2"/>
            <w:noWrap/>
            <w:hideMark/>
          </w:tcPr>
          <w:p w:rsidR="00FF6C1F" w:rsidRPr="00225159" w:rsidRDefault="00FF6C1F" w:rsidP="00225159">
            <w:r w:rsidRPr="00225159">
              <w:t>Member 4</w:t>
            </w:r>
          </w:p>
        </w:tc>
        <w:tc>
          <w:tcPr>
            <w:tcW w:w="1344" w:type="dxa"/>
            <w:noWrap/>
            <w:hideMark/>
          </w:tcPr>
          <w:p w:rsidR="00FF6C1F" w:rsidRPr="00225159" w:rsidRDefault="00FF6C1F" w:rsidP="00225159">
            <w:r w:rsidRPr="00225159">
              <w:t>Member 5</w:t>
            </w:r>
          </w:p>
        </w:tc>
        <w:tc>
          <w:tcPr>
            <w:tcW w:w="3003" w:type="dxa"/>
            <w:noWrap/>
            <w:hideMark/>
          </w:tcPr>
          <w:p w:rsidR="00FF6C1F" w:rsidRPr="00225159" w:rsidRDefault="00FF6C1F"/>
        </w:tc>
      </w:tr>
      <w:tr w:rsidR="00FF6C1F" w:rsidRPr="00225159" w:rsidTr="00FF6C1F">
        <w:trPr>
          <w:trHeight w:val="300"/>
        </w:trPr>
        <w:tc>
          <w:tcPr>
            <w:tcW w:w="7456" w:type="dxa"/>
            <w:noWrap/>
            <w:hideMark/>
          </w:tcPr>
          <w:p w:rsidR="00FF6C1F" w:rsidRPr="005D2648" w:rsidRDefault="00FF6C1F">
            <w:pPr>
              <w:rPr>
                <w:rFonts w:ascii="Arial" w:hAnsi="Arial" w:cs="Arial"/>
                <w:color w:val="FF0000"/>
              </w:rPr>
            </w:pPr>
            <w:r w:rsidRPr="005D2648">
              <w:rPr>
                <w:rFonts w:ascii="Arial" w:hAnsi="Arial" w:cs="Arial"/>
                <w:color w:val="FF0000"/>
              </w:rPr>
              <w:t xml:space="preserve"> Setting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78%</w:t>
            </w: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78%</w:t>
            </w:r>
          </w:p>
        </w:tc>
        <w:tc>
          <w:tcPr>
            <w:tcW w:w="838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74%</w:t>
            </w: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78%</w:t>
            </w: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73%</w:t>
            </w: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91%</w:t>
            </w:r>
          </w:p>
        </w:tc>
        <w:tc>
          <w:tcPr>
            <w:tcW w:w="6409" w:type="dxa"/>
            <w:gridSpan w:val="9"/>
            <w:shd w:val="clear" w:color="auto" w:fill="92D050"/>
            <w:noWrap/>
            <w:hideMark/>
          </w:tcPr>
          <w:p w:rsidR="00FF6C1F" w:rsidRPr="00225159" w:rsidRDefault="00FF6C1F" w:rsidP="00225159">
            <w:r w:rsidRPr="00225159">
              <w:t>VOTED IN AT DELPHI STAGE</w:t>
            </w:r>
          </w:p>
        </w:tc>
        <w:tc>
          <w:tcPr>
            <w:tcW w:w="3003" w:type="dxa"/>
            <w:vMerge w:val="restart"/>
            <w:noWrap/>
            <w:hideMark/>
          </w:tcPr>
          <w:p w:rsidR="00FF6C1F" w:rsidRPr="00225159" w:rsidRDefault="00FF6C1F"/>
        </w:tc>
      </w:tr>
      <w:tr w:rsidR="00FF6C1F" w:rsidRPr="00225159" w:rsidTr="00FF6C1F">
        <w:trPr>
          <w:trHeight w:val="300"/>
        </w:trPr>
        <w:tc>
          <w:tcPr>
            <w:tcW w:w="7456" w:type="dxa"/>
            <w:noWrap/>
            <w:hideMark/>
          </w:tcPr>
          <w:p w:rsidR="00FF6C1F" w:rsidRPr="005D2648" w:rsidRDefault="00FF6C1F">
            <w:pPr>
              <w:rPr>
                <w:rFonts w:ascii="Arial" w:hAnsi="Arial" w:cs="Arial"/>
                <w:color w:val="FF0000"/>
              </w:rPr>
            </w:pPr>
            <w:r w:rsidRPr="005D2648">
              <w:rPr>
                <w:rFonts w:ascii="Arial" w:hAnsi="Arial" w:cs="Arial"/>
                <w:color w:val="FF0000"/>
              </w:rPr>
              <w:t>Condition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98%</w:t>
            </w: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100%</w:t>
            </w:r>
          </w:p>
        </w:tc>
        <w:tc>
          <w:tcPr>
            <w:tcW w:w="838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100%</w:t>
            </w: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95%</w:t>
            </w: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100%</w:t>
            </w: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91%</w:t>
            </w:r>
          </w:p>
        </w:tc>
        <w:tc>
          <w:tcPr>
            <w:tcW w:w="6409" w:type="dxa"/>
            <w:gridSpan w:val="9"/>
            <w:shd w:val="clear" w:color="auto" w:fill="92D050"/>
            <w:noWrap/>
            <w:hideMark/>
          </w:tcPr>
          <w:p w:rsidR="00FF6C1F" w:rsidRPr="00225159" w:rsidRDefault="00FF6C1F" w:rsidP="00225159">
            <w:r w:rsidRPr="00225159">
              <w:t>VOTED IN AT DELPHI STAGE</w:t>
            </w:r>
          </w:p>
        </w:tc>
        <w:tc>
          <w:tcPr>
            <w:tcW w:w="3003" w:type="dxa"/>
            <w:vMerge/>
            <w:noWrap/>
            <w:hideMark/>
          </w:tcPr>
          <w:p w:rsidR="00FF6C1F" w:rsidRPr="00225159" w:rsidRDefault="00FF6C1F"/>
        </w:tc>
      </w:tr>
      <w:tr w:rsidR="00FF6C1F" w:rsidRPr="00225159" w:rsidTr="00FF6C1F">
        <w:trPr>
          <w:trHeight w:val="300"/>
        </w:trPr>
        <w:tc>
          <w:tcPr>
            <w:tcW w:w="7456" w:type="dxa"/>
            <w:noWrap/>
            <w:hideMark/>
          </w:tcPr>
          <w:p w:rsidR="00FF6C1F" w:rsidRPr="005D2648" w:rsidRDefault="00FF6C1F">
            <w:pPr>
              <w:rPr>
                <w:rFonts w:ascii="Arial" w:hAnsi="Arial" w:cs="Arial"/>
                <w:color w:val="FF0000"/>
              </w:rPr>
            </w:pPr>
            <w:r w:rsidRPr="005D2648">
              <w:rPr>
                <w:rFonts w:ascii="Arial" w:hAnsi="Arial" w:cs="Arial"/>
                <w:color w:val="FF0000"/>
              </w:rPr>
              <w:t>Population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96%</w:t>
            </w: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97%</w:t>
            </w:r>
          </w:p>
        </w:tc>
        <w:tc>
          <w:tcPr>
            <w:tcW w:w="838" w:type="dxa"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84%</w:t>
            </w: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98%</w:t>
            </w: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100%</w:t>
            </w: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73%</w:t>
            </w:r>
          </w:p>
        </w:tc>
        <w:tc>
          <w:tcPr>
            <w:tcW w:w="6409" w:type="dxa"/>
            <w:gridSpan w:val="9"/>
            <w:shd w:val="clear" w:color="auto" w:fill="92D050"/>
            <w:noWrap/>
            <w:hideMark/>
          </w:tcPr>
          <w:p w:rsidR="00FF6C1F" w:rsidRPr="00225159" w:rsidRDefault="00FF6C1F" w:rsidP="00225159">
            <w:r w:rsidRPr="00225159">
              <w:t>VOTED IN AT DELPHI STAGE</w:t>
            </w:r>
          </w:p>
        </w:tc>
        <w:tc>
          <w:tcPr>
            <w:tcW w:w="3003" w:type="dxa"/>
            <w:vMerge/>
            <w:noWrap/>
            <w:hideMark/>
          </w:tcPr>
          <w:p w:rsidR="00FF6C1F" w:rsidRPr="00225159" w:rsidRDefault="00FF6C1F"/>
        </w:tc>
      </w:tr>
      <w:tr w:rsidR="00225159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225159" w:rsidRPr="005D2648" w:rsidRDefault="00225159">
            <w:pPr>
              <w:rPr>
                <w:rFonts w:ascii="Arial" w:hAnsi="Arial" w:cs="Arial"/>
                <w:color w:val="FF0000"/>
              </w:rPr>
            </w:pPr>
            <w:r w:rsidRPr="005D2648">
              <w:rPr>
                <w:rFonts w:ascii="Arial" w:hAnsi="Arial" w:cs="Arial"/>
                <w:color w:val="FF0000"/>
              </w:rPr>
              <w:t>Intervention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69%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69%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71%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88%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55%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82%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3003" w:type="dxa"/>
            <w:shd w:val="clear" w:color="auto" w:fill="FF0000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IN AFTER INITIAL VOTE</w:t>
            </w:r>
          </w:p>
        </w:tc>
      </w:tr>
      <w:tr w:rsidR="00FF6C1F" w:rsidRPr="00225159" w:rsidTr="005D2648">
        <w:trPr>
          <w:trHeight w:val="300"/>
        </w:trPr>
        <w:tc>
          <w:tcPr>
            <w:tcW w:w="7456" w:type="dxa"/>
            <w:shd w:val="clear" w:color="auto" w:fill="00B0F0"/>
            <w:hideMark/>
          </w:tcPr>
          <w:p w:rsidR="00FF6C1F" w:rsidRPr="00225159" w:rsidRDefault="00FF6C1F">
            <w:pPr>
              <w:rPr>
                <w:rFonts w:ascii="Arial" w:hAnsi="Arial" w:cs="Arial"/>
                <w:b/>
                <w:bCs/>
              </w:rPr>
            </w:pPr>
            <w:r w:rsidRPr="00225159">
              <w:rPr>
                <w:rFonts w:ascii="Arial" w:hAnsi="Arial" w:cs="Arial"/>
                <w:b/>
                <w:bCs/>
              </w:rPr>
              <w:t>RELEVANT STAKEHOLDER(S)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838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930" w:type="dxa"/>
            <w:noWrap/>
            <w:hideMark/>
          </w:tcPr>
          <w:p w:rsidR="00FF6C1F" w:rsidRPr="00225159" w:rsidRDefault="00FF6C1F"/>
        </w:tc>
        <w:tc>
          <w:tcPr>
            <w:tcW w:w="1066" w:type="dxa"/>
            <w:gridSpan w:val="2"/>
            <w:noWrap/>
            <w:hideMark/>
          </w:tcPr>
          <w:p w:rsidR="00FF6C1F" w:rsidRPr="00225159" w:rsidRDefault="00FF6C1F"/>
        </w:tc>
        <w:tc>
          <w:tcPr>
            <w:tcW w:w="1402" w:type="dxa"/>
            <w:gridSpan w:val="2"/>
            <w:noWrap/>
            <w:hideMark/>
          </w:tcPr>
          <w:p w:rsidR="00FF6C1F" w:rsidRPr="00225159" w:rsidRDefault="00FF6C1F"/>
        </w:tc>
        <w:tc>
          <w:tcPr>
            <w:tcW w:w="1406" w:type="dxa"/>
            <w:gridSpan w:val="2"/>
            <w:noWrap/>
            <w:hideMark/>
          </w:tcPr>
          <w:p w:rsidR="00FF6C1F" w:rsidRPr="00225159" w:rsidRDefault="00FF6C1F"/>
        </w:tc>
        <w:tc>
          <w:tcPr>
            <w:tcW w:w="1605" w:type="dxa"/>
            <w:gridSpan w:val="2"/>
            <w:noWrap/>
            <w:hideMark/>
          </w:tcPr>
          <w:p w:rsidR="00FF6C1F" w:rsidRPr="00225159" w:rsidRDefault="00FF6C1F">
            <w:r w:rsidRPr="00225159">
              <w:t> </w:t>
            </w:r>
          </w:p>
        </w:tc>
        <w:tc>
          <w:tcPr>
            <w:tcW w:w="3003" w:type="dxa"/>
            <w:noWrap/>
            <w:vAlign w:val="center"/>
            <w:hideMark/>
          </w:tcPr>
          <w:p w:rsidR="00FF6C1F" w:rsidRPr="00FF6C1F" w:rsidRDefault="00FF6C1F" w:rsidP="005D2648">
            <w:pPr>
              <w:rPr>
                <w:sz w:val="20"/>
                <w:szCs w:val="20"/>
              </w:rPr>
            </w:pPr>
          </w:p>
        </w:tc>
      </w:tr>
      <w:tr w:rsidR="00FF6C1F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FF6C1F" w:rsidRPr="00225159" w:rsidRDefault="00FF6C1F">
            <w:pPr>
              <w:rPr>
                <w:rFonts w:ascii="Arial" w:hAnsi="Arial" w:cs="Arial"/>
              </w:rPr>
            </w:pPr>
            <w:r w:rsidRPr="005D2648">
              <w:rPr>
                <w:rFonts w:ascii="Arial" w:hAnsi="Arial" w:cs="Arial"/>
                <w:color w:val="FF0000"/>
              </w:rPr>
              <w:t xml:space="preserve">Those who will use the COS in research (e.g. clinical </w:t>
            </w:r>
            <w:proofErr w:type="spellStart"/>
            <w:r w:rsidRPr="005D2648">
              <w:rPr>
                <w:rFonts w:ascii="Arial" w:hAnsi="Arial" w:cs="Arial"/>
                <w:color w:val="FF0000"/>
              </w:rPr>
              <w:t>trialists</w:t>
            </w:r>
            <w:proofErr w:type="spellEnd"/>
            <w:r w:rsidRPr="005D2648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84%</w:t>
            </w: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83%</w:t>
            </w:r>
          </w:p>
        </w:tc>
        <w:tc>
          <w:tcPr>
            <w:tcW w:w="838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87%</w:t>
            </w: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88%</w:t>
            </w: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82%</w:t>
            </w: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91%</w:t>
            </w:r>
          </w:p>
        </w:tc>
        <w:tc>
          <w:tcPr>
            <w:tcW w:w="6409" w:type="dxa"/>
            <w:gridSpan w:val="9"/>
            <w:shd w:val="clear" w:color="auto" w:fill="92D050"/>
            <w:noWrap/>
            <w:hideMark/>
          </w:tcPr>
          <w:p w:rsidR="00FF6C1F" w:rsidRPr="00225159" w:rsidRDefault="00FF6C1F" w:rsidP="00225159">
            <w:r w:rsidRPr="00225159">
              <w:t>VOTED IN AT DELPHI STAGE</w:t>
            </w:r>
          </w:p>
        </w:tc>
        <w:tc>
          <w:tcPr>
            <w:tcW w:w="3003" w:type="dxa"/>
            <w:noWrap/>
            <w:vAlign w:val="center"/>
            <w:hideMark/>
          </w:tcPr>
          <w:p w:rsidR="00FF6C1F" w:rsidRPr="00FF6C1F" w:rsidRDefault="00FF6C1F" w:rsidP="005D2648">
            <w:pPr>
              <w:rPr>
                <w:sz w:val="20"/>
                <w:szCs w:val="20"/>
              </w:rPr>
            </w:pP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Those who will use the research that should have used the COS (e.g. systematic   reviewers, guideline developers, policy makers, regulatory agencies) 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52%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78%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81%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64%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3003" w:type="dxa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OUT AT CONSENSUS DISCUSSION STAGE</w:t>
            </w:r>
          </w:p>
        </w:tc>
      </w:tr>
      <w:tr w:rsidR="00FF6C1F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FF6C1F" w:rsidRPr="005D2648" w:rsidRDefault="00FF6C1F">
            <w:pPr>
              <w:rPr>
                <w:rFonts w:ascii="Arial" w:hAnsi="Arial" w:cs="Arial"/>
                <w:color w:val="FF0000"/>
              </w:rPr>
            </w:pPr>
            <w:r w:rsidRPr="005D2648">
              <w:rPr>
                <w:rFonts w:ascii="Arial" w:hAnsi="Arial" w:cs="Arial"/>
                <w:color w:val="FF0000"/>
              </w:rPr>
              <w:t xml:space="preserve">Healthcare professionals with experience of patients with the condition 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96%</w:t>
            </w: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86%</w:t>
            </w:r>
          </w:p>
        </w:tc>
        <w:tc>
          <w:tcPr>
            <w:tcW w:w="838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87%</w:t>
            </w: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73%</w:t>
            </w: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100%</w:t>
            </w: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100%</w:t>
            </w:r>
          </w:p>
        </w:tc>
        <w:tc>
          <w:tcPr>
            <w:tcW w:w="6409" w:type="dxa"/>
            <w:gridSpan w:val="9"/>
            <w:shd w:val="clear" w:color="auto" w:fill="92D050"/>
            <w:noWrap/>
            <w:hideMark/>
          </w:tcPr>
          <w:p w:rsidR="00FF6C1F" w:rsidRPr="00225159" w:rsidRDefault="00FF6C1F" w:rsidP="00225159">
            <w:r w:rsidRPr="00225159">
              <w:t>VOTED IN AT DELPHI STAGE</w:t>
            </w:r>
          </w:p>
        </w:tc>
        <w:tc>
          <w:tcPr>
            <w:tcW w:w="3003" w:type="dxa"/>
            <w:noWrap/>
            <w:vAlign w:val="center"/>
            <w:hideMark/>
          </w:tcPr>
          <w:p w:rsidR="00FF6C1F" w:rsidRPr="00FF6C1F" w:rsidRDefault="00FF6C1F" w:rsidP="005D2648">
            <w:pPr>
              <w:rPr>
                <w:sz w:val="20"/>
                <w:szCs w:val="20"/>
              </w:rPr>
            </w:pP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5D2648">
              <w:rPr>
                <w:rFonts w:ascii="Arial" w:hAnsi="Arial" w:cs="Arial"/>
                <w:color w:val="FF0000"/>
              </w:rPr>
              <w:t>Patients with the condition or their representatives (e.g. patients, public, participants who have  experienced the condition, family members, carers</w:t>
            </w:r>
            <w:r w:rsidRPr="00225159">
              <w:rPr>
                <w:rFonts w:ascii="Arial" w:hAnsi="Arial" w:cs="Arial"/>
              </w:rPr>
              <w:t>)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94%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61%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84%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100%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100%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3003" w:type="dxa"/>
            <w:shd w:val="clear" w:color="auto" w:fill="FF0000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IN AFTER INITIAL VOTE</w:t>
            </w:r>
          </w:p>
        </w:tc>
      </w:tr>
      <w:tr w:rsidR="00FF6C1F" w:rsidRPr="00225159" w:rsidTr="005D2648">
        <w:trPr>
          <w:trHeight w:val="300"/>
        </w:trPr>
        <w:tc>
          <w:tcPr>
            <w:tcW w:w="7456" w:type="dxa"/>
            <w:shd w:val="clear" w:color="auto" w:fill="00B0F0"/>
            <w:hideMark/>
          </w:tcPr>
          <w:p w:rsidR="00FF6C1F" w:rsidRPr="00225159" w:rsidRDefault="00FF6C1F">
            <w:pPr>
              <w:rPr>
                <w:rFonts w:ascii="Arial" w:hAnsi="Arial" w:cs="Arial"/>
                <w:b/>
                <w:bCs/>
              </w:rPr>
            </w:pPr>
            <w:r w:rsidRPr="00225159">
              <w:rPr>
                <w:rFonts w:ascii="Arial" w:hAnsi="Arial" w:cs="Arial"/>
                <w:b/>
                <w:bCs/>
              </w:rPr>
              <w:t>TRANSPARENT CONSENSUS PROCESS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838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</w:p>
        </w:tc>
        <w:tc>
          <w:tcPr>
            <w:tcW w:w="930" w:type="dxa"/>
            <w:noWrap/>
            <w:hideMark/>
          </w:tcPr>
          <w:p w:rsidR="00FF6C1F" w:rsidRPr="00225159" w:rsidRDefault="00FF6C1F"/>
        </w:tc>
        <w:tc>
          <w:tcPr>
            <w:tcW w:w="1066" w:type="dxa"/>
            <w:gridSpan w:val="2"/>
            <w:noWrap/>
            <w:hideMark/>
          </w:tcPr>
          <w:p w:rsidR="00FF6C1F" w:rsidRPr="00225159" w:rsidRDefault="00FF6C1F"/>
        </w:tc>
        <w:tc>
          <w:tcPr>
            <w:tcW w:w="1402" w:type="dxa"/>
            <w:gridSpan w:val="2"/>
            <w:noWrap/>
            <w:hideMark/>
          </w:tcPr>
          <w:p w:rsidR="00FF6C1F" w:rsidRPr="00225159" w:rsidRDefault="00FF6C1F"/>
        </w:tc>
        <w:tc>
          <w:tcPr>
            <w:tcW w:w="1406" w:type="dxa"/>
            <w:gridSpan w:val="2"/>
            <w:noWrap/>
            <w:hideMark/>
          </w:tcPr>
          <w:p w:rsidR="00FF6C1F" w:rsidRPr="00225159" w:rsidRDefault="00FF6C1F"/>
        </w:tc>
        <w:tc>
          <w:tcPr>
            <w:tcW w:w="1605" w:type="dxa"/>
            <w:gridSpan w:val="2"/>
            <w:noWrap/>
            <w:hideMark/>
          </w:tcPr>
          <w:p w:rsidR="00FF6C1F" w:rsidRPr="00225159" w:rsidRDefault="00FF6C1F"/>
        </w:tc>
        <w:tc>
          <w:tcPr>
            <w:tcW w:w="3003" w:type="dxa"/>
            <w:noWrap/>
            <w:vAlign w:val="center"/>
            <w:hideMark/>
          </w:tcPr>
          <w:p w:rsidR="00FF6C1F" w:rsidRPr="00FF6C1F" w:rsidRDefault="00FF6C1F" w:rsidP="005D2648">
            <w:pPr>
              <w:rPr>
                <w:sz w:val="20"/>
                <w:szCs w:val="20"/>
              </w:rPr>
            </w:pP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A protocol is made publically available 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56%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69%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71%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63%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3003" w:type="dxa"/>
            <w:shd w:val="clear" w:color="auto" w:fill="FFFF00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OUT AFTER INITIAL VOTE</w:t>
            </w: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Prospective registration of COS study in a public registry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51%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56%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55%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63%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55%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3003" w:type="dxa"/>
            <w:shd w:val="clear" w:color="auto" w:fill="FFFF00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OUT AFTER INITIAL VOTE</w:t>
            </w:r>
          </w:p>
        </w:tc>
      </w:tr>
      <w:tr w:rsidR="00FF6C1F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FF6C1F" w:rsidRPr="005D2648" w:rsidRDefault="00FF6C1F">
            <w:pPr>
              <w:rPr>
                <w:rFonts w:ascii="Arial" w:hAnsi="Arial" w:cs="Arial"/>
                <w:color w:val="FF0000"/>
              </w:rPr>
            </w:pPr>
            <w:r w:rsidRPr="005D2648">
              <w:rPr>
                <w:rFonts w:ascii="Arial" w:hAnsi="Arial" w:cs="Arial"/>
                <w:color w:val="FF0000"/>
              </w:rPr>
              <w:t xml:space="preserve">Initial list of outcomes considered </w:t>
            </w:r>
            <w:r w:rsidRPr="005D2648">
              <w:rPr>
                <w:rFonts w:ascii="Arial" w:hAnsi="Arial" w:cs="Arial"/>
                <w:i/>
                <w:iCs/>
                <w:color w:val="FF0000"/>
              </w:rPr>
              <w:t>both</w:t>
            </w:r>
            <w:r w:rsidRPr="005D2648">
              <w:rPr>
                <w:rFonts w:ascii="Arial" w:hAnsi="Arial" w:cs="Arial"/>
                <w:color w:val="FF0000"/>
              </w:rPr>
              <w:t xml:space="preserve"> healthcare professionals’ and patients’ views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85%</w:t>
            </w: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86%</w:t>
            </w:r>
          </w:p>
        </w:tc>
        <w:tc>
          <w:tcPr>
            <w:tcW w:w="838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84%</w:t>
            </w: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77%</w:t>
            </w: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82%</w:t>
            </w: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91%</w:t>
            </w:r>
          </w:p>
        </w:tc>
        <w:tc>
          <w:tcPr>
            <w:tcW w:w="6409" w:type="dxa"/>
            <w:gridSpan w:val="9"/>
            <w:shd w:val="clear" w:color="auto" w:fill="92D050"/>
            <w:noWrap/>
            <w:hideMark/>
          </w:tcPr>
          <w:p w:rsidR="00FF6C1F" w:rsidRPr="00225159" w:rsidRDefault="00FF6C1F" w:rsidP="00225159">
            <w:r w:rsidRPr="00225159">
              <w:t>VOTED IN AT DELPHI STAGE</w:t>
            </w:r>
          </w:p>
        </w:tc>
        <w:tc>
          <w:tcPr>
            <w:tcW w:w="3003" w:type="dxa"/>
            <w:vMerge w:val="restart"/>
            <w:noWrap/>
            <w:vAlign w:val="center"/>
            <w:hideMark/>
          </w:tcPr>
          <w:p w:rsidR="00FF6C1F" w:rsidRPr="00FF6C1F" w:rsidRDefault="00FF6C1F" w:rsidP="005D2648">
            <w:pPr>
              <w:rPr>
                <w:sz w:val="20"/>
                <w:szCs w:val="20"/>
              </w:rPr>
            </w:pPr>
          </w:p>
        </w:tc>
      </w:tr>
      <w:tr w:rsidR="00FF6C1F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FF6C1F" w:rsidRPr="005D2648" w:rsidRDefault="00FF6C1F">
            <w:pPr>
              <w:rPr>
                <w:rFonts w:ascii="Arial" w:hAnsi="Arial" w:cs="Arial"/>
                <w:color w:val="FF0000"/>
              </w:rPr>
            </w:pPr>
            <w:r w:rsidRPr="005D2648">
              <w:rPr>
                <w:rFonts w:ascii="Arial" w:hAnsi="Arial" w:cs="Arial"/>
                <w:color w:val="FF0000"/>
              </w:rPr>
              <w:t>A scoring process and consensus definition is described a priori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78%</w:t>
            </w: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75%</w:t>
            </w:r>
          </w:p>
        </w:tc>
        <w:tc>
          <w:tcPr>
            <w:tcW w:w="838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77%</w:t>
            </w: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85%</w:t>
            </w: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100%</w:t>
            </w: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100%</w:t>
            </w:r>
          </w:p>
        </w:tc>
        <w:tc>
          <w:tcPr>
            <w:tcW w:w="6409" w:type="dxa"/>
            <w:gridSpan w:val="9"/>
            <w:shd w:val="clear" w:color="auto" w:fill="92D050"/>
            <w:noWrap/>
            <w:hideMark/>
          </w:tcPr>
          <w:p w:rsidR="00FF6C1F" w:rsidRPr="00225159" w:rsidRDefault="00FF6C1F" w:rsidP="00225159">
            <w:r w:rsidRPr="00225159">
              <w:t>VOTED IN AT DELPHI STAGE</w:t>
            </w:r>
          </w:p>
        </w:tc>
        <w:tc>
          <w:tcPr>
            <w:tcW w:w="3003" w:type="dxa"/>
            <w:vMerge/>
            <w:noWrap/>
            <w:vAlign w:val="center"/>
            <w:hideMark/>
          </w:tcPr>
          <w:p w:rsidR="00FF6C1F" w:rsidRPr="00FF6C1F" w:rsidRDefault="00FF6C1F" w:rsidP="005D2648">
            <w:pPr>
              <w:rPr>
                <w:sz w:val="20"/>
                <w:szCs w:val="20"/>
              </w:rPr>
            </w:pP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The consensus definition specifically addresses how the views of multiple stakeholder groups will be taken into account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77%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64%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71%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62%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91%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3003" w:type="dxa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OUT AT CONSENSUS DISCUSSION STAGE</w:t>
            </w: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5D2648">
              <w:rPr>
                <w:rFonts w:ascii="Arial" w:hAnsi="Arial" w:cs="Arial"/>
                <w:color w:val="FF0000"/>
              </w:rPr>
              <w:t>Criteria for including/dropping/adding outcomes are described a priori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76%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75%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90%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70%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55%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64%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3003" w:type="dxa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IN AT CONSENSUS DISCUSSION STAGE</w:t>
            </w: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These criteria specifically address how the views of multiple stakeholder groups will be taken into account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71%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56%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67%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56%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91%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3003" w:type="dxa"/>
            <w:shd w:val="clear" w:color="auto" w:fill="FFFF00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OUT AFTER INITIAL VOTE</w:t>
            </w: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noWrap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Each stakeholder group is approached in a way that should result in that stakeholder group being fairly represented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82%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58%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68%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69%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55%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91%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3003" w:type="dxa"/>
            <w:shd w:val="clear" w:color="auto" w:fill="FFFF00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OUT AFTER INITIAL VOTE</w:t>
            </w: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A systematic review was undertaken to identify current outcome reporting practices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65%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67%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70%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58%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70%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82%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IN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3003" w:type="dxa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OUT AT CONSENSUS DISCUSSION STAGE</w:t>
            </w:r>
          </w:p>
        </w:tc>
      </w:tr>
      <w:tr w:rsidR="00FF6C1F" w:rsidRPr="00225159" w:rsidTr="005D2648">
        <w:trPr>
          <w:trHeight w:val="300"/>
        </w:trPr>
        <w:tc>
          <w:tcPr>
            <w:tcW w:w="7456" w:type="dxa"/>
            <w:hideMark/>
          </w:tcPr>
          <w:p w:rsidR="00FF6C1F" w:rsidRPr="00225159" w:rsidRDefault="00FF6C1F">
            <w:pPr>
              <w:rPr>
                <w:rFonts w:ascii="Arial" w:hAnsi="Arial" w:cs="Arial"/>
              </w:rPr>
            </w:pPr>
            <w:r w:rsidRPr="005D2648">
              <w:rPr>
                <w:rFonts w:ascii="Arial" w:hAnsi="Arial" w:cs="Arial"/>
                <w:color w:val="FF0000"/>
              </w:rPr>
              <w:t>Care is taken to avoid ambiguity of language used in the list of outcomes</w:t>
            </w:r>
          </w:p>
        </w:tc>
        <w:tc>
          <w:tcPr>
            <w:tcW w:w="782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76%</w:t>
            </w:r>
          </w:p>
        </w:tc>
        <w:tc>
          <w:tcPr>
            <w:tcW w:w="835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83%</w:t>
            </w:r>
          </w:p>
        </w:tc>
        <w:tc>
          <w:tcPr>
            <w:tcW w:w="838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73%</w:t>
            </w:r>
          </w:p>
        </w:tc>
        <w:tc>
          <w:tcPr>
            <w:tcW w:w="684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85%</w:t>
            </w:r>
          </w:p>
        </w:tc>
        <w:tc>
          <w:tcPr>
            <w:tcW w:w="73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73%</w:t>
            </w:r>
          </w:p>
        </w:tc>
        <w:tc>
          <w:tcPr>
            <w:tcW w:w="773" w:type="dxa"/>
            <w:noWrap/>
            <w:vAlign w:val="center"/>
            <w:hideMark/>
          </w:tcPr>
          <w:p w:rsidR="00FF6C1F" w:rsidRPr="00225159" w:rsidRDefault="00FF6C1F" w:rsidP="00225159">
            <w:pPr>
              <w:jc w:val="center"/>
            </w:pPr>
            <w:r w:rsidRPr="00225159">
              <w:t>82%</w:t>
            </w:r>
          </w:p>
        </w:tc>
        <w:tc>
          <w:tcPr>
            <w:tcW w:w="6409" w:type="dxa"/>
            <w:gridSpan w:val="9"/>
            <w:shd w:val="clear" w:color="auto" w:fill="92D050"/>
            <w:noWrap/>
            <w:hideMark/>
          </w:tcPr>
          <w:p w:rsidR="00FF6C1F" w:rsidRPr="00225159" w:rsidRDefault="00FF6C1F" w:rsidP="00225159">
            <w:r w:rsidRPr="00225159">
              <w:t>VOTED IN AT DELPHI STAGE</w:t>
            </w:r>
          </w:p>
        </w:tc>
        <w:tc>
          <w:tcPr>
            <w:tcW w:w="3003" w:type="dxa"/>
            <w:noWrap/>
            <w:vAlign w:val="center"/>
            <w:hideMark/>
          </w:tcPr>
          <w:p w:rsidR="00FF6C1F" w:rsidRPr="00FF6C1F" w:rsidRDefault="00FF6C1F" w:rsidP="005D2648">
            <w:pPr>
              <w:rPr>
                <w:sz w:val="20"/>
                <w:szCs w:val="20"/>
              </w:rPr>
            </w:pP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>Competing interests are acknowledged in advance and taken into account during the consensus process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63%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72%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94%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65%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82%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3003" w:type="dxa"/>
            <w:shd w:val="clear" w:color="auto" w:fill="FFFF00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OUT AFTER INITIAL VOTE</w:t>
            </w:r>
          </w:p>
        </w:tc>
      </w:tr>
      <w:tr w:rsidR="00225159" w:rsidRPr="00225159" w:rsidTr="005D2648">
        <w:trPr>
          <w:trHeight w:val="300"/>
        </w:trPr>
        <w:tc>
          <w:tcPr>
            <w:tcW w:w="7456" w:type="dxa"/>
            <w:hideMark/>
          </w:tcPr>
          <w:p w:rsidR="00225159" w:rsidRPr="00225159" w:rsidRDefault="00225159">
            <w:pPr>
              <w:rPr>
                <w:rFonts w:ascii="Arial" w:hAnsi="Arial" w:cs="Arial"/>
              </w:rPr>
            </w:pPr>
            <w:r w:rsidRPr="00225159">
              <w:rPr>
                <w:rFonts w:ascii="Arial" w:hAnsi="Arial" w:cs="Arial"/>
              </w:rPr>
              <w:t xml:space="preserve">The research team includes representatives from all or most stakeholder groups who would use or implement the COS (e.g. patients; funders; </w:t>
            </w:r>
            <w:proofErr w:type="spellStart"/>
            <w:r w:rsidRPr="00225159">
              <w:rPr>
                <w:rFonts w:ascii="Arial" w:hAnsi="Arial" w:cs="Arial"/>
              </w:rPr>
              <w:t>etc</w:t>
            </w:r>
            <w:proofErr w:type="spellEnd"/>
            <w:r w:rsidRPr="00225159">
              <w:rPr>
                <w:rFonts w:ascii="Arial" w:hAnsi="Arial" w:cs="Arial"/>
              </w:rPr>
              <w:t>)</w:t>
            </w:r>
          </w:p>
        </w:tc>
        <w:tc>
          <w:tcPr>
            <w:tcW w:w="782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54%</w:t>
            </w:r>
          </w:p>
        </w:tc>
        <w:tc>
          <w:tcPr>
            <w:tcW w:w="835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61%</w:t>
            </w:r>
          </w:p>
        </w:tc>
        <w:tc>
          <w:tcPr>
            <w:tcW w:w="838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65%</w:t>
            </w:r>
          </w:p>
        </w:tc>
        <w:tc>
          <w:tcPr>
            <w:tcW w:w="684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40%</w:t>
            </w:r>
          </w:p>
        </w:tc>
        <w:tc>
          <w:tcPr>
            <w:tcW w:w="73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55%</w:t>
            </w:r>
          </w:p>
        </w:tc>
        <w:tc>
          <w:tcPr>
            <w:tcW w:w="773" w:type="dxa"/>
            <w:noWrap/>
            <w:vAlign w:val="center"/>
            <w:hideMark/>
          </w:tcPr>
          <w:p w:rsidR="00225159" w:rsidRPr="00225159" w:rsidRDefault="00225159" w:rsidP="00225159">
            <w:pPr>
              <w:jc w:val="center"/>
            </w:pPr>
            <w:r w:rsidRPr="00225159">
              <w:t>73%</w:t>
            </w:r>
          </w:p>
        </w:tc>
        <w:tc>
          <w:tcPr>
            <w:tcW w:w="930" w:type="dxa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06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2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406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1605" w:type="dxa"/>
            <w:gridSpan w:val="2"/>
            <w:noWrap/>
            <w:vAlign w:val="center"/>
            <w:hideMark/>
          </w:tcPr>
          <w:p w:rsidR="00225159" w:rsidRPr="00225159" w:rsidRDefault="00225159" w:rsidP="00FF6C1F">
            <w:pPr>
              <w:jc w:val="center"/>
            </w:pPr>
            <w:r w:rsidRPr="00225159">
              <w:t>OUT</w:t>
            </w:r>
          </w:p>
        </w:tc>
        <w:tc>
          <w:tcPr>
            <w:tcW w:w="3003" w:type="dxa"/>
            <w:shd w:val="clear" w:color="auto" w:fill="FFFF00"/>
            <w:noWrap/>
            <w:vAlign w:val="center"/>
            <w:hideMark/>
          </w:tcPr>
          <w:p w:rsidR="00225159" w:rsidRPr="00FF6C1F" w:rsidRDefault="00225159" w:rsidP="005D2648">
            <w:pPr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VOTED OUT AFTER INITIAL VOTE</w:t>
            </w:r>
          </w:p>
        </w:tc>
      </w:tr>
    </w:tbl>
    <w:p w:rsidR="00225159" w:rsidRDefault="00225159"/>
    <w:sectPr w:rsidR="00225159" w:rsidSect="0022515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DD"/>
    <w:rsid w:val="000D6E67"/>
    <w:rsid w:val="00225159"/>
    <w:rsid w:val="00237BDD"/>
    <w:rsid w:val="003B20D7"/>
    <w:rsid w:val="005D2648"/>
    <w:rsid w:val="005F5036"/>
    <w:rsid w:val="00D8662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Kirkham, Jamie</dc:creator>
  <cp:lastModifiedBy>Kirkham, Jamie</cp:lastModifiedBy>
  <cp:revision>4</cp:revision>
  <dcterms:created xsi:type="dcterms:W3CDTF">2017-08-30T14:02:00Z</dcterms:created>
  <dcterms:modified xsi:type="dcterms:W3CDTF">2017-08-31T10:41:00Z</dcterms:modified>
</cp:coreProperties>
</file>