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70" w:rsidRDefault="004F53BB" w:rsidP="00441270">
      <w:pPr>
        <w:pStyle w:val="Heading2"/>
        <w:spacing w:before="240" w:after="240"/>
        <w:rPr>
          <w:rFonts w:cs="Times New Roman"/>
          <w:szCs w:val="24"/>
          <w:shd w:val="clear" w:color="auto" w:fill="FFFFFF"/>
        </w:rPr>
      </w:pPr>
      <w:bookmarkStart w:id="0" w:name="_GoBack"/>
      <w:bookmarkEnd w:id="0"/>
      <w:r>
        <w:rPr>
          <w:rFonts w:cs="Times New Roman"/>
          <w:szCs w:val="24"/>
          <w:shd w:val="clear" w:color="auto" w:fill="FFFFFF"/>
        </w:rPr>
        <w:t xml:space="preserve">S1 </w:t>
      </w:r>
      <w:r w:rsidRPr="004F53BB">
        <w:rPr>
          <w:rFonts w:cs="Times New Roman"/>
          <w:szCs w:val="24"/>
          <w:shd w:val="clear" w:color="auto" w:fill="FFFFFF"/>
        </w:rPr>
        <w:t>Checklist</w:t>
      </w:r>
      <w:r>
        <w:rPr>
          <w:rFonts w:cs="Times New Roman"/>
          <w:szCs w:val="24"/>
          <w:shd w:val="clear" w:color="auto" w:fill="FFFFFF"/>
        </w:rPr>
        <w:t xml:space="preserve">: </w:t>
      </w:r>
      <w:r w:rsidR="00441270">
        <w:rPr>
          <w:rFonts w:cs="Times New Roman"/>
          <w:szCs w:val="24"/>
          <w:shd w:val="clear" w:color="auto" w:fill="FFFFFF"/>
        </w:rPr>
        <w:t>COREQ</w:t>
      </w:r>
      <w:r w:rsidR="00441270" w:rsidRPr="008C7983">
        <w:rPr>
          <w:rFonts w:cs="Times New Roman"/>
          <w:szCs w:val="24"/>
          <w:shd w:val="clear" w:color="auto" w:fill="FFFFFF"/>
        </w:rPr>
        <w:t xml:space="preserve"> 32-item checklist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2461"/>
        <w:gridCol w:w="6516"/>
      </w:tblGrid>
      <w:tr w:rsidR="00441270" w:rsidRPr="00AF79B2" w:rsidTr="00EF5F37">
        <w:trPr>
          <w:tblHeade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b/>
                <w:bCs/>
              </w:rPr>
            </w:pPr>
            <w:r w:rsidRPr="00AF79B2">
              <w:rPr>
                <w:rFonts w:ascii="Times New Roman" w:eastAsia="Times New Roman" w:hAnsi="Times New Roman" w:cs="Times New Roman"/>
                <w:b/>
                <w:bCs/>
              </w:rPr>
              <w:t>No</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b/>
                <w:bCs/>
              </w:rPr>
            </w:pPr>
            <w:r w:rsidRPr="00AF79B2">
              <w:rPr>
                <w:rFonts w:ascii="Times New Roman" w:eastAsia="Times New Roman" w:hAnsi="Times New Roman" w:cs="Times New Roman"/>
                <w:b/>
                <w:bCs/>
              </w:rPr>
              <w:t>Item</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b/>
                <w:bCs/>
              </w:rPr>
            </w:pPr>
            <w:r w:rsidRPr="00AF79B2">
              <w:rPr>
                <w:rFonts w:ascii="Times New Roman" w:eastAsia="Times New Roman" w:hAnsi="Times New Roman" w:cs="Times New Roman"/>
                <w:b/>
                <w:bCs/>
              </w:rPr>
              <w:t>Guide questions/description</w:t>
            </w:r>
          </w:p>
        </w:tc>
      </w:tr>
      <w:tr w:rsidR="00441270" w:rsidRPr="00AF79B2" w:rsidTr="00EF5F37">
        <w:trPr>
          <w:tblCellSpacing w:w="15" w:type="dxa"/>
        </w:trPr>
        <w:tc>
          <w:tcPr>
            <w:tcW w:w="0" w:type="auto"/>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b/>
                <w:bCs/>
              </w:rPr>
              <w:t>Domain 1: Research team and reflexivity</w:t>
            </w:r>
          </w:p>
        </w:tc>
      </w:tr>
      <w:tr w:rsidR="00441270" w:rsidRPr="00AF79B2" w:rsidTr="00EF5F37">
        <w:trPr>
          <w:tblCellSpacing w:w="15" w:type="dxa"/>
        </w:trPr>
        <w:tc>
          <w:tcPr>
            <w:tcW w:w="0" w:type="auto"/>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Personal Characteristics</w:t>
            </w:r>
          </w:p>
        </w:tc>
      </w:tr>
      <w:tr w:rsidR="00441270" w:rsidRPr="00AF79B2" w:rsidTr="00EF5F37">
        <w:trPr>
          <w:trHeight w:val="392"/>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Interviewer/facilitator</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 and NA conducted all interviews in Lesotho, Mozambique, South Africa and Swaziland, with the exception of Mozambique where Dr. Isabel </w:t>
            </w:r>
            <w:proofErr w:type="spellStart"/>
            <w:r>
              <w:rPr>
                <w:rFonts w:ascii="Times New Roman" w:eastAsia="Times New Roman" w:hAnsi="Times New Roman" w:cs="Times New Roman"/>
              </w:rPr>
              <w:t>Cambe</w:t>
            </w:r>
            <w:proofErr w:type="spellEnd"/>
            <w:r>
              <w:rPr>
                <w:rFonts w:ascii="Times New Roman" w:eastAsia="Times New Roman" w:hAnsi="Times New Roman" w:cs="Times New Roman"/>
              </w:rPr>
              <w:t xml:space="preserve"> (National Institute of Health of Mozambique) conducted additional interviews under the guidance of the study team.</w:t>
            </w:r>
          </w:p>
        </w:tc>
      </w:tr>
      <w:tr w:rsidR="00441270" w:rsidRPr="00AF79B2" w:rsidTr="00EF5F37">
        <w:trPr>
          <w:trHeight w:val="410"/>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Credentials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JWDN (MD MPH), HGD (BA), KA (MPH), NS (MA MP</w:t>
            </w:r>
            <w:r w:rsidRPr="00240EBC">
              <w:rPr>
                <w:rFonts w:ascii="Times New Roman" w:eastAsia="Times New Roman" w:hAnsi="Times New Roman" w:cs="Times New Roman"/>
              </w:rPr>
              <w:t>H</w:t>
            </w:r>
            <w:r>
              <w:rPr>
                <w:rFonts w:ascii="Times New Roman" w:eastAsia="Times New Roman" w:hAnsi="Times New Roman" w:cs="Times New Roman"/>
              </w:rPr>
              <w:t>), CB (ScD)</w:t>
            </w:r>
            <w:r w:rsidRPr="00240EBC">
              <w:rPr>
                <w:rFonts w:ascii="Times New Roman" w:eastAsia="Times New Roman" w:hAnsi="Times New Roman" w:cs="Times New Roman"/>
              </w:rPr>
              <w:t>,</w:t>
            </w:r>
            <w:r>
              <w:rPr>
                <w:rFonts w:ascii="Times New Roman" w:eastAsia="Times New Roman" w:hAnsi="Times New Roman" w:cs="Times New Roman"/>
              </w:rPr>
              <w:t xml:space="preserve"> RG (MD MPH), PG (</w:t>
            </w:r>
            <w:proofErr w:type="spellStart"/>
            <w:r>
              <w:rPr>
                <w:rFonts w:ascii="Times New Roman" w:eastAsia="Times New Roman" w:hAnsi="Times New Roman" w:cs="Times New Roman"/>
              </w:rPr>
              <w:t>MBChB</w:t>
            </w:r>
            <w:proofErr w:type="spellEnd"/>
            <w:r>
              <w:rPr>
                <w:rFonts w:ascii="Times New Roman" w:eastAsia="Times New Roman" w:hAnsi="Times New Roman" w:cs="Times New Roman"/>
              </w:rPr>
              <w:t xml:space="preserve"> MPH)</w:t>
            </w:r>
            <w:r w:rsidRPr="00240EBC">
              <w:rPr>
                <w:rFonts w:ascii="Times New Roman" w:eastAsia="Times New Roman" w:hAnsi="Times New Roman" w:cs="Times New Roman"/>
              </w:rPr>
              <w:t xml:space="preserve">, </w:t>
            </w:r>
            <w:r>
              <w:rPr>
                <w:rFonts w:ascii="Times New Roman" w:eastAsia="Times New Roman" w:hAnsi="Times New Roman" w:cs="Times New Roman"/>
              </w:rPr>
              <w:t>MV (</w:t>
            </w:r>
            <w:r w:rsidRPr="00240EBC">
              <w:rPr>
                <w:rFonts w:ascii="Times New Roman" w:eastAsia="Times New Roman" w:hAnsi="Times New Roman" w:cs="Times New Roman"/>
              </w:rPr>
              <w:t>MSc</w:t>
            </w:r>
            <w:r>
              <w:rPr>
                <w:rFonts w:ascii="Times New Roman" w:eastAsia="Times New Roman" w:hAnsi="Times New Roman" w:cs="Times New Roman"/>
              </w:rPr>
              <w:t>)</w:t>
            </w:r>
            <w:r w:rsidRPr="00240EBC">
              <w:rPr>
                <w:rFonts w:ascii="Times New Roman" w:eastAsia="Times New Roman" w:hAnsi="Times New Roman" w:cs="Times New Roman"/>
              </w:rPr>
              <w:t>, T</w:t>
            </w:r>
            <w:r>
              <w:rPr>
                <w:rFonts w:ascii="Times New Roman" w:eastAsia="Times New Roman" w:hAnsi="Times New Roman" w:cs="Times New Roman"/>
              </w:rPr>
              <w:t>B (M</w:t>
            </w:r>
            <w:r w:rsidRPr="00240EBC">
              <w:rPr>
                <w:rFonts w:ascii="Times New Roman" w:eastAsia="Times New Roman" w:hAnsi="Times New Roman" w:cs="Times New Roman"/>
              </w:rPr>
              <w:t>D</w:t>
            </w:r>
            <w:r>
              <w:rPr>
                <w:rFonts w:ascii="Times New Roman" w:eastAsia="Times New Roman" w:hAnsi="Times New Roman" w:cs="Times New Roman"/>
              </w:rPr>
              <w:t xml:space="preserve"> ScD M</w:t>
            </w:r>
            <w:r w:rsidRPr="00240EBC">
              <w:rPr>
                <w:rFonts w:ascii="Times New Roman" w:eastAsia="Times New Roman" w:hAnsi="Times New Roman" w:cs="Times New Roman"/>
              </w:rPr>
              <w:t>Sc</w:t>
            </w:r>
            <w:r>
              <w:rPr>
                <w:rFonts w:ascii="Times New Roman" w:eastAsia="Times New Roman" w:hAnsi="Times New Roman" w:cs="Times New Roman"/>
              </w:rPr>
              <w:t>) TJB (PhD), IC (MD)</w:t>
            </w:r>
          </w:p>
        </w:tc>
      </w:tr>
      <w:tr w:rsidR="00441270" w:rsidRPr="00AF79B2" w:rsidTr="00EF5F37">
        <w:trPr>
          <w:trHeight w:val="1067"/>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3.</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Occupation</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JWDN (Doctoral Candidate in Global Health), HGD (Undergraduate Student), KA (Doctoral Candidate in Global Health), NS (Research Assistant), CB (Research Associate), RG (Clinical Resident), PG (Doctoral Candidate in Global Health), MV (Research Associate), TB (Professor in Global Health), TJB (Senior Lecturer on Global Health Policy and</w:t>
            </w:r>
            <w:r>
              <w:t xml:space="preserve"> </w:t>
            </w:r>
            <w:r w:rsidRPr="00212451">
              <w:rPr>
                <w:rFonts w:ascii="Times New Roman" w:eastAsia="Times New Roman" w:hAnsi="Times New Roman" w:cs="Times New Roman"/>
              </w:rPr>
              <w:t>Director of International Health Systems Program</w:t>
            </w:r>
            <w:r>
              <w:rPr>
                <w:rFonts w:ascii="Times New Roman" w:eastAsia="Times New Roman" w:hAnsi="Times New Roman" w:cs="Times New Roman"/>
              </w:rPr>
              <w:t>), IC (Researcher National Institute of Health of Mozambique)</w:t>
            </w:r>
          </w:p>
        </w:tc>
      </w:tr>
      <w:tr w:rsidR="00441270" w:rsidRPr="00AF79B2" w:rsidTr="00EF5F37">
        <w:trPr>
          <w:trHeight w:val="383"/>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4.</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Gender</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All three interviewers were female.</w:t>
            </w:r>
          </w:p>
        </w:tc>
      </w:tr>
      <w:tr w:rsidR="00441270" w:rsidRPr="00AF79B2" w:rsidTr="00EF5F37">
        <w:trPr>
          <w:trHeight w:val="878"/>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5.</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Experience and training</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TB, TJB, KA, and IC </w:t>
            </w:r>
            <w:r w:rsidRPr="006A01B5">
              <w:rPr>
                <w:rFonts w:ascii="Times New Roman" w:eastAsia="Times New Roman" w:hAnsi="Times New Roman" w:cs="Times New Roman"/>
              </w:rPr>
              <w:t xml:space="preserve">had extensive experience with </w:t>
            </w:r>
            <w:r>
              <w:rPr>
                <w:rFonts w:ascii="Times New Roman" w:eastAsia="Times New Roman" w:hAnsi="Times New Roman" w:cs="Times New Roman"/>
              </w:rPr>
              <w:t xml:space="preserve">conducting in-depth interviews for </w:t>
            </w:r>
            <w:r w:rsidRPr="006A01B5">
              <w:rPr>
                <w:rFonts w:ascii="Times New Roman" w:eastAsia="Times New Roman" w:hAnsi="Times New Roman" w:cs="Times New Roman"/>
              </w:rPr>
              <w:t>qualitative research studies</w:t>
            </w:r>
            <w:r>
              <w:rPr>
                <w:rFonts w:ascii="Times New Roman" w:eastAsia="Times New Roman" w:hAnsi="Times New Roman" w:cs="Times New Roman"/>
              </w:rPr>
              <w:t>.</w:t>
            </w:r>
            <w:r w:rsidRPr="006A01B5">
              <w:rPr>
                <w:rFonts w:ascii="Times New Roman" w:eastAsia="Times New Roman" w:hAnsi="Times New Roman" w:cs="Times New Roman"/>
              </w:rPr>
              <w:t xml:space="preserve"> </w:t>
            </w:r>
            <w:r>
              <w:rPr>
                <w:rFonts w:ascii="Times New Roman" w:eastAsia="Times New Roman" w:hAnsi="Times New Roman" w:cs="Times New Roman"/>
              </w:rPr>
              <w:t>HGD was an undergraduate student, NA a masters student, and JWDN, CB, and PG were doctoral candidates, with training in qualitative research.</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Relationship with participants</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6.</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Relationship established</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7.</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Participant knowledge of the interviewer</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D33D88">
              <w:rPr>
                <w:rFonts w:ascii="Times New Roman" w:eastAsia="Times New Roman" w:hAnsi="Times New Roman" w:cs="Times New Roman"/>
              </w:rPr>
              <w:t>The participants knew that the researchers were from a university</w:t>
            </w:r>
            <w:r>
              <w:rPr>
                <w:rFonts w:ascii="Times New Roman" w:eastAsia="Times New Roman" w:hAnsi="Times New Roman" w:cs="Times New Roman"/>
              </w:rPr>
              <w:t>.</w:t>
            </w:r>
            <w:r w:rsidRPr="00D33D88">
              <w:rPr>
                <w:rFonts w:ascii="Times New Roman" w:eastAsia="Times New Roman" w:hAnsi="Times New Roman" w:cs="Times New Roman"/>
              </w:rPr>
              <w:t xml:space="preserve"> </w:t>
            </w:r>
            <w:r w:rsidRPr="00AE2C5B">
              <w:rPr>
                <w:rFonts w:ascii="Times New Roman" w:eastAsia="Times New Roman" w:hAnsi="Times New Roman" w:cs="Times New Roman"/>
              </w:rPr>
              <w:t xml:space="preserve">The context of the interviews and the project overall was informally introduced when interviewers arrived </w:t>
            </w:r>
            <w:r>
              <w:rPr>
                <w:rFonts w:ascii="Times New Roman" w:eastAsia="Times New Roman" w:hAnsi="Times New Roman" w:cs="Times New Roman"/>
              </w:rPr>
              <w:t>at the interview</w:t>
            </w:r>
            <w:r w:rsidRPr="00AE2C5B">
              <w:rPr>
                <w:rFonts w:ascii="Times New Roman" w:eastAsia="Times New Roman" w:hAnsi="Times New Roman" w:cs="Times New Roman"/>
              </w:rPr>
              <w:t>, and formally as part of the informed</w:t>
            </w:r>
            <w:r>
              <w:rPr>
                <w:rFonts w:ascii="Times New Roman" w:eastAsia="Times New Roman" w:hAnsi="Times New Roman" w:cs="Times New Roman"/>
              </w:rPr>
              <w:t xml:space="preserve"> </w:t>
            </w:r>
            <w:r w:rsidRPr="00AE2C5B">
              <w:rPr>
                <w:rFonts w:ascii="Times New Roman" w:eastAsia="Times New Roman" w:hAnsi="Times New Roman" w:cs="Times New Roman"/>
              </w:rPr>
              <w:t>consent process</w:t>
            </w:r>
            <w:r>
              <w:rPr>
                <w:rFonts w:ascii="Times New Roman" w:eastAsia="Times New Roman" w:hAnsi="Times New Roman" w:cs="Times New Roman"/>
              </w:rPr>
              <w:t>.</w:t>
            </w:r>
          </w:p>
        </w:tc>
      </w:tr>
      <w:tr w:rsidR="00441270" w:rsidRPr="00AF79B2" w:rsidTr="00EF5F37">
        <w:trPr>
          <w:trHeight w:val="63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8.</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Interviewer characteristics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D33D88">
              <w:rPr>
                <w:rFonts w:ascii="Times New Roman" w:eastAsia="Times New Roman" w:hAnsi="Times New Roman" w:cs="Times New Roman"/>
              </w:rPr>
              <w:t xml:space="preserve">The participants knew that the researchers </w:t>
            </w:r>
            <w:r>
              <w:rPr>
                <w:rFonts w:ascii="Times New Roman" w:eastAsia="Times New Roman" w:hAnsi="Times New Roman" w:cs="Times New Roman"/>
              </w:rPr>
              <w:t>were interested in qualitative research as it pertains to the harmonization of CHW programs for HIV in Southern Africa.</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b/>
                <w:bCs/>
              </w:rPr>
              <w:t>Domain 2: S</w:t>
            </w:r>
            <w:r w:rsidRPr="00AF79B2">
              <w:rPr>
                <w:rFonts w:ascii="Times New Roman" w:eastAsia="Times New Roman" w:hAnsi="Times New Roman" w:cs="Times New Roman"/>
                <w:b/>
                <w:bCs/>
              </w:rPr>
              <w:t>tudy design</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Theoretical framework</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9.</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Methodological orientation and Theory</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Multi-country comparative case study analysis using a well-grounded analytical framework introduced by </w:t>
            </w:r>
            <w:proofErr w:type="spellStart"/>
            <w:r>
              <w:rPr>
                <w:rFonts w:ascii="Times New Roman" w:eastAsia="Times New Roman" w:hAnsi="Times New Roman" w:cs="Times New Roman"/>
              </w:rPr>
              <w:t>Atun</w:t>
            </w:r>
            <w:proofErr w:type="spellEnd"/>
            <w:r>
              <w:rPr>
                <w:rFonts w:ascii="Times New Roman" w:eastAsia="Times New Roman" w:hAnsi="Times New Roman" w:cs="Times New Roman"/>
              </w:rPr>
              <w:t xml:space="preserve"> et al. in 2009.</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Participant selection</w:t>
            </w:r>
          </w:p>
        </w:tc>
      </w:tr>
      <w:tr w:rsidR="00441270" w:rsidRPr="00AF79B2" w:rsidTr="00EF5F37">
        <w:trPr>
          <w:trHeight w:val="383"/>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10.</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Sampling</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Purposive sampling</w:t>
            </w:r>
          </w:p>
        </w:tc>
      </w:tr>
      <w:tr w:rsidR="00441270" w:rsidRPr="00AF79B2" w:rsidTr="00EF5F37">
        <w:trPr>
          <w:trHeight w:val="189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lastRenderedPageBreak/>
              <w:t>11.</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Method of approach</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Participants were approached by email or phone, based on a preliminary list of 20-25 key stakeholders in each country, made aware of the study, and invited to participate in the study by research staff.</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12.</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Sample size</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60</w:t>
            </w:r>
          </w:p>
        </w:tc>
      </w:tr>
      <w:tr w:rsidR="00441270" w:rsidRPr="00AF79B2" w:rsidTr="00EF5F37">
        <w:trPr>
          <w:trHeight w:val="860"/>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13.</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Non-participation</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3D0D3B">
              <w:rPr>
                <w:rFonts w:ascii="Times New Roman" w:eastAsia="Times New Roman" w:hAnsi="Times New Roman" w:cs="Times New Roman"/>
              </w:rPr>
              <w:t>Non-participati</w:t>
            </w:r>
            <w:r w:rsidR="00241616">
              <w:rPr>
                <w:rFonts w:ascii="Times New Roman" w:eastAsia="Times New Roman" w:hAnsi="Times New Roman" w:cs="Times New Roman"/>
              </w:rPr>
              <w:t xml:space="preserve">on was </w:t>
            </w:r>
            <w:r w:rsidRPr="003D0D3B">
              <w:rPr>
                <w:rFonts w:ascii="Times New Roman" w:eastAsia="Times New Roman" w:hAnsi="Times New Roman" w:cs="Times New Roman"/>
              </w:rPr>
              <w:t>low, at on average 2 participants per country. The most common reasons were being unreachable after several attempts were made and unavailability at the time of our in-country visit (due to either a conference, staff meeting, or senior management retreat)</w:t>
            </w:r>
            <w:r>
              <w:rPr>
                <w:rFonts w:ascii="Times New Roman" w:eastAsia="Times New Roman" w:hAnsi="Times New Roman" w:cs="Times New Roman"/>
              </w:rPr>
              <w:t>.</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Setting</w:t>
            </w:r>
          </w:p>
        </w:tc>
      </w:tr>
      <w:tr w:rsidR="00441270" w:rsidRPr="00AF79B2" w:rsidTr="00EF5F37">
        <w:trPr>
          <w:trHeight w:val="347"/>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14.</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Setting of data collection</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Private office or by video conference, with the exception of one interview which was conducted in a public space due to lack of office availability.</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15.</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Presence of non-participants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441270" w:rsidRPr="00AF79B2" w:rsidTr="00EF5F37">
        <w:trPr>
          <w:trHeight w:val="410"/>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16.</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Description of sample</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See Table 1.</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Data collection</w:t>
            </w:r>
          </w:p>
        </w:tc>
      </w:tr>
      <w:tr w:rsidR="00441270" w:rsidRPr="00AF79B2" w:rsidTr="00EF5F37">
        <w:trPr>
          <w:trHeight w:val="410"/>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17.</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Interview guide</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An interview guide was drafted based on an extensive narrative review prior to conducting the study and further revised based on comments from expert observers with expertise in qualitative research.</w:t>
            </w:r>
          </w:p>
        </w:tc>
      </w:tr>
      <w:tr w:rsidR="00441270" w:rsidRPr="00AF79B2" w:rsidTr="00EF5F37">
        <w:trPr>
          <w:trHeight w:val="45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18.</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Repeat interviews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tc>
      </w:tr>
      <w:tr w:rsidR="00441270" w:rsidRPr="00AF79B2" w:rsidTr="00EF5F37">
        <w:trPr>
          <w:trHeight w:val="45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19.</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Audio/visual recording</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Interviews were audio-recorded.</w:t>
            </w:r>
          </w:p>
        </w:tc>
      </w:tr>
      <w:tr w:rsidR="00441270" w:rsidRPr="00AF79B2" w:rsidTr="00EF5F37">
        <w:trPr>
          <w:trHeight w:val="383"/>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20.</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Field notes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441270" w:rsidRPr="00AF79B2" w:rsidTr="00EF5F37">
        <w:trPr>
          <w:trHeight w:val="36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21.</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Duration</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30-60 minutes</w:t>
            </w:r>
          </w:p>
        </w:tc>
      </w:tr>
      <w:tr w:rsidR="00441270" w:rsidRPr="00AF79B2" w:rsidTr="00EF5F37">
        <w:trPr>
          <w:trHeight w:val="36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22.</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Data saturation</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441270" w:rsidRPr="00AF79B2" w:rsidTr="00EF5F37">
        <w:trPr>
          <w:trHeight w:val="45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23.</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Transcripts returned</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b/>
                <w:bCs/>
              </w:rPr>
              <w:t>Domain 3: A</w:t>
            </w:r>
            <w:r w:rsidRPr="00AF79B2">
              <w:rPr>
                <w:rFonts w:ascii="Times New Roman" w:eastAsia="Times New Roman" w:hAnsi="Times New Roman" w:cs="Times New Roman"/>
                <w:b/>
                <w:bCs/>
              </w:rPr>
              <w:t>nalysis and findings</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Data analysis</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24.</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Number of data coders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Two</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25.</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Description of the coding tree</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A coding tree was not developed.</w:t>
            </w:r>
          </w:p>
        </w:tc>
      </w:tr>
      <w:tr w:rsidR="00441270" w:rsidRPr="00AF79B2" w:rsidTr="00EF5F37">
        <w:trPr>
          <w:trHeight w:val="36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26.</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Derivation of themes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Themes were identified in advance.</w:t>
            </w:r>
          </w:p>
        </w:tc>
      </w:tr>
      <w:tr w:rsidR="00441270" w:rsidRPr="00AF79B2" w:rsidTr="00EF5F37">
        <w:trPr>
          <w:trHeight w:val="410"/>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27.</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Software</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r>
      <w:tr w:rsidR="00441270" w:rsidRPr="00AF79B2" w:rsidTr="00EF5F37">
        <w:trPr>
          <w:trHeight w:val="1130"/>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lastRenderedPageBreak/>
              <w:t>28.</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Participant checking</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w:t>
            </w:r>
          </w:p>
        </w:tc>
      </w:tr>
      <w:tr w:rsidR="00441270" w:rsidRPr="00AF79B2" w:rsidTr="00EF5F37">
        <w:trPr>
          <w:tblCellSpacing w:w="15" w:type="dxa"/>
        </w:trPr>
        <w:tc>
          <w:tcPr>
            <w:tcW w:w="9410" w:type="dxa"/>
            <w:gridSpan w:val="3"/>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Reporting</w:t>
            </w:r>
          </w:p>
        </w:tc>
      </w:tr>
      <w:tr w:rsidR="00441270" w:rsidRPr="00AF79B2" w:rsidTr="00EF5F37">
        <w:trPr>
          <w:trHeight w:val="36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29.</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Quotations presented</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441270" w:rsidRPr="00AF79B2" w:rsidTr="00EF5F37">
        <w:trPr>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30.</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Data and findings consistent</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Quotations used to illustrate findings.</w:t>
            </w:r>
          </w:p>
        </w:tc>
      </w:tr>
      <w:tr w:rsidR="00441270" w:rsidRPr="00AF79B2" w:rsidTr="00EF5F37">
        <w:trPr>
          <w:trHeight w:val="410"/>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31.</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Clarity of major themes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441270" w:rsidRPr="00AF79B2" w:rsidTr="00EF5F37">
        <w:trPr>
          <w:trHeight w:val="365"/>
          <w:tblCellSpacing w:w="15" w:type="dxa"/>
        </w:trPr>
        <w:tc>
          <w:tcPr>
            <w:tcW w:w="328"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32.</w:t>
            </w:r>
          </w:p>
        </w:tc>
        <w:tc>
          <w:tcPr>
            <w:tcW w:w="2442" w:type="dxa"/>
            <w:vAlign w:val="center"/>
            <w:hideMark/>
          </w:tcPr>
          <w:p w:rsidR="00441270" w:rsidRPr="00AF79B2" w:rsidRDefault="00441270" w:rsidP="00EF5F37">
            <w:pPr>
              <w:spacing w:after="0" w:line="240" w:lineRule="auto"/>
              <w:rPr>
                <w:rFonts w:ascii="Times New Roman" w:eastAsia="Times New Roman" w:hAnsi="Times New Roman" w:cs="Times New Roman"/>
              </w:rPr>
            </w:pPr>
            <w:r w:rsidRPr="00AF79B2">
              <w:rPr>
                <w:rFonts w:ascii="Times New Roman" w:eastAsia="Times New Roman" w:hAnsi="Times New Roman" w:cs="Times New Roman"/>
              </w:rPr>
              <w:t>Clarity of minor themes</w:t>
            </w:r>
          </w:p>
        </w:tc>
        <w:tc>
          <w:tcPr>
            <w:tcW w:w="6580" w:type="dxa"/>
            <w:vAlign w:val="center"/>
            <w:hideMark/>
          </w:tcPr>
          <w:p w:rsidR="00441270" w:rsidRPr="00AF79B2" w:rsidRDefault="00441270" w:rsidP="00EF5F37">
            <w:pPr>
              <w:spacing w:after="0" w:line="240" w:lineRule="auto"/>
              <w:rPr>
                <w:rFonts w:ascii="Times New Roman" w:eastAsia="Times New Roman" w:hAnsi="Times New Roman" w:cs="Times New Roman"/>
              </w:rPr>
            </w:pPr>
            <w:r>
              <w:rPr>
                <w:rFonts w:ascii="Times New Roman" w:eastAsia="Times New Roman" w:hAnsi="Times New Roman" w:cs="Times New Roman"/>
              </w:rPr>
              <w:t>Diverse cases noted and minor themes presented.</w:t>
            </w:r>
          </w:p>
        </w:tc>
      </w:tr>
    </w:tbl>
    <w:p w:rsidR="00441270" w:rsidRDefault="00441270" w:rsidP="00441270">
      <w:pPr>
        <w:spacing w:after="0"/>
        <w:rPr>
          <w:rFonts w:ascii="Times New Roman" w:hAnsi="Times New Roman" w:cs="Times New Roman"/>
          <w:sz w:val="20"/>
        </w:rPr>
      </w:pPr>
    </w:p>
    <w:p w:rsidR="00441270" w:rsidRPr="008C7983" w:rsidRDefault="00441270" w:rsidP="00441270"/>
    <w:p w:rsidR="00441270" w:rsidRPr="008C7983" w:rsidRDefault="00441270" w:rsidP="00441270"/>
    <w:p w:rsidR="00441270" w:rsidRDefault="00441270" w:rsidP="00441270"/>
    <w:p w:rsidR="00441270" w:rsidRDefault="00441270" w:rsidP="00441270"/>
    <w:p w:rsidR="00441270" w:rsidRDefault="00441270" w:rsidP="00441270"/>
    <w:p w:rsidR="00441270" w:rsidRDefault="00441270" w:rsidP="00441270"/>
    <w:p w:rsidR="00441270" w:rsidRDefault="00441270" w:rsidP="00441270"/>
    <w:p w:rsidR="00441270" w:rsidRDefault="00441270" w:rsidP="00441270"/>
    <w:p w:rsidR="00434090" w:rsidRDefault="00434090" w:rsidP="00441270"/>
    <w:p w:rsidR="00434090" w:rsidRDefault="00434090" w:rsidP="00441270"/>
    <w:p w:rsidR="00434090" w:rsidRDefault="00434090" w:rsidP="00441270"/>
    <w:p w:rsidR="00434090" w:rsidRDefault="00434090" w:rsidP="00441270"/>
    <w:p w:rsidR="00434090" w:rsidRDefault="00434090" w:rsidP="00441270"/>
    <w:p w:rsidR="00434090" w:rsidRDefault="00434090" w:rsidP="00441270"/>
    <w:p w:rsidR="00434090" w:rsidRDefault="00434090" w:rsidP="00441270"/>
    <w:p w:rsidR="00FC36AA" w:rsidRDefault="00FC36AA" w:rsidP="00EE2D06">
      <w:pPr>
        <w:spacing w:before="240"/>
      </w:pPr>
    </w:p>
    <w:sectPr w:rsidR="00FC36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9B" w:rsidRDefault="00C8499B" w:rsidP="0043333A">
      <w:pPr>
        <w:spacing w:after="0" w:line="240" w:lineRule="auto"/>
      </w:pPr>
      <w:r>
        <w:separator/>
      </w:r>
    </w:p>
  </w:endnote>
  <w:endnote w:type="continuationSeparator" w:id="0">
    <w:p w:rsidR="00C8499B" w:rsidRDefault="00C8499B" w:rsidP="004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92362"/>
      <w:docPartObj>
        <w:docPartGallery w:val="Page Numbers (Bottom of Page)"/>
        <w:docPartUnique/>
      </w:docPartObj>
    </w:sdtPr>
    <w:sdtEndPr>
      <w:rPr>
        <w:rFonts w:ascii="Times New Roman" w:hAnsi="Times New Roman" w:cs="Times New Roman"/>
        <w:noProof/>
        <w:sz w:val="16"/>
      </w:rPr>
    </w:sdtEndPr>
    <w:sdtContent>
      <w:p w:rsidR="00614D4D" w:rsidRPr="00614D4D" w:rsidRDefault="00614D4D">
        <w:pPr>
          <w:pStyle w:val="Footer"/>
          <w:jc w:val="right"/>
          <w:rPr>
            <w:rFonts w:ascii="Times New Roman" w:hAnsi="Times New Roman" w:cs="Times New Roman"/>
            <w:sz w:val="16"/>
          </w:rPr>
        </w:pPr>
        <w:r w:rsidRPr="00614D4D">
          <w:rPr>
            <w:rFonts w:ascii="Times New Roman" w:hAnsi="Times New Roman" w:cs="Times New Roman"/>
            <w:sz w:val="16"/>
          </w:rPr>
          <w:fldChar w:fldCharType="begin"/>
        </w:r>
        <w:r w:rsidRPr="00614D4D">
          <w:rPr>
            <w:rFonts w:ascii="Times New Roman" w:hAnsi="Times New Roman" w:cs="Times New Roman"/>
            <w:sz w:val="16"/>
          </w:rPr>
          <w:instrText xml:space="preserve"> PAGE   \* MERGEFORMAT </w:instrText>
        </w:r>
        <w:r w:rsidRPr="00614D4D">
          <w:rPr>
            <w:rFonts w:ascii="Times New Roman" w:hAnsi="Times New Roman" w:cs="Times New Roman"/>
            <w:sz w:val="16"/>
          </w:rPr>
          <w:fldChar w:fldCharType="separate"/>
        </w:r>
        <w:r w:rsidR="00DF2AA8">
          <w:rPr>
            <w:rFonts w:ascii="Times New Roman" w:hAnsi="Times New Roman" w:cs="Times New Roman"/>
            <w:noProof/>
            <w:sz w:val="16"/>
          </w:rPr>
          <w:t>3</w:t>
        </w:r>
        <w:r w:rsidRPr="00614D4D">
          <w:rPr>
            <w:rFonts w:ascii="Times New Roman" w:hAnsi="Times New Roman" w:cs="Times New Roman"/>
            <w:noProof/>
            <w:sz w:val="16"/>
          </w:rPr>
          <w:fldChar w:fldCharType="end"/>
        </w:r>
      </w:p>
    </w:sdtContent>
  </w:sdt>
  <w:p w:rsidR="00614D4D" w:rsidRDefault="00614D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9B" w:rsidRDefault="00C8499B" w:rsidP="0043333A">
      <w:pPr>
        <w:spacing w:after="0" w:line="240" w:lineRule="auto"/>
      </w:pPr>
      <w:r>
        <w:separator/>
      </w:r>
    </w:p>
  </w:footnote>
  <w:footnote w:type="continuationSeparator" w:id="0">
    <w:p w:rsidR="00C8499B" w:rsidRDefault="00C8499B" w:rsidP="00433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29E"/>
    <w:multiLevelType w:val="hybridMultilevel"/>
    <w:tmpl w:val="7EC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5zx9earv0txweee095vvz29ep5e0zavfsf&quot;&gt;app&lt;record-ids&gt;&lt;item&gt;1&lt;/item&gt;&lt;/record-ids&gt;&lt;/item&gt;&lt;/Libraries&gt;"/>
  </w:docVars>
  <w:rsids>
    <w:rsidRoot w:val="00441270"/>
    <w:rsid w:val="00037FBA"/>
    <w:rsid w:val="000F74FD"/>
    <w:rsid w:val="001557D6"/>
    <w:rsid w:val="001645C2"/>
    <w:rsid w:val="001C25AC"/>
    <w:rsid w:val="001E2091"/>
    <w:rsid w:val="00241616"/>
    <w:rsid w:val="00396769"/>
    <w:rsid w:val="003D74D9"/>
    <w:rsid w:val="00404613"/>
    <w:rsid w:val="0043333A"/>
    <w:rsid w:val="00434090"/>
    <w:rsid w:val="00441270"/>
    <w:rsid w:val="004902A7"/>
    <w:rsid w:val="004C03C6"/>
    <w:rsid w:val="004D17C3"/>
    <w:rsid w:val="004F53BB"/>
    <w:rsid w:val="005751D3"/>
    <w:rsid w:val="005762D5"/>
    <w:rsid w:val="00586591"/>
    <w:rsid w:val="005E715A"/>
    <w:rsid w:val="00614D4D"/>
    <w:rsid w:val="00676879"/>
    <w:rsid w:val="006B7C79"/>
    <w:rsid w:val="006F0380"/>
    <w:rsid w:val="00782D07"/>
    <w:rsid w:val="00793148"/>
    <w:rsid w:val="007E7D3A"/>
    <w:rsid w:val="007F5113"/>
    <w:rsid w:val="0085759B"/>
    <w:rsid w:val="008A3BE5"/>
    <w:rsid w:val="00941DD4"/>
    <w:rsid w:val="009F1D7E"/>
    <w:rsid w:val="00A84171"/>
    <w:rsid w:val="00AD1649"/>
    <w:rsid w:val="00B21849"/>
    <w:rsid w:val="00BD54CC"/>
    <w:rsid w:val="00C12A82"/>
    <w:rsid w:val="00C5579A"/>
    <w:rsid w:val="00C727AF"/>
    <w:rsid w:val="00C77E91"/>
    <w:rsid w:val="00C8499B"/>
    <w:rsid w:val="00D4380D"/>
    <w:rsid w:val="00D77DFA"/>
    <w:rsid w:val="00DC59D1"/>
    <w:rsid w:val="00DF0976"/>
    <w:rsid w:val="00DF2AA8"/>
    <w:rsid w:val="00E373A0"/>
    <w:rsid w:val="00E85B19"/>
    <w:rsid w:val="00EA3B90"/>
    <w:rsid w:val="00EB0A5B"/>
    <w:rsid w:val="00EB6836"/>
    <w:rsid w:val="00EE2D06"/>
    <w:rsid w:val="00F25641"/>
    <w:rsid w:val="00F32D00"/>
    <w:rsid w:val="00F74C55"/>
    <w:rsid w:val="00FC3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E47E6"/>
  <w15:docId w15:val="{88A72D64-0957-4DFB-86FF-71152ED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70"/>
  </w:style>
  <w:style w:type="paragraph" w:styleId="Heading1">
    <w:name w:val="heading 1"/>
    <w:basedOn w:val="Normal"/>
    <w:next w:val="Normal"/>
    <w:link w:val="Heading1Char"/>
    <w:uiPriority w:val="9"/>
    <w:qFormat/>
    <w:rsid w:val="00441270"/>
    <w:pPr>
      <w:keepNext/>
      <w:keepLines/>
      <w:spacing w:before="240" w:after="0"/>
      <w:outlineLvl w:val="0"/>
    </w:pPr>
    <w:rPr>
      <w:rFonts w:ascii="Times New Roman" w:eastAsiaTheme="majorEastAsia" w:hAnsi="Times New Roman" w:cstheme="majorBidi"/>
      <w:b/>
      <w:sz w:val="24"/>
      <w:szCs w:val="32"/>
      <w:u w:val="single"/>
    </w:rPr>
  </w:style>
  <w:style w:type="paragraph" w:styleId="Heading2">
    <w:name w:val="heading 2"/>
    <w:basedOn w:val="Normal"/>
    <w:next w:val="Normal"/>
    <w:link w:val="Heading2Char"/>
    <w:uiPriority w:val="9"/>
    <w:unhideWhenUsed/>
    <w:qFormat/>
    <w:rsid w:val="00441270"/>
    <w:pPr>
      <w:keepNext/>
      <w:keepLines/>
      <w:spacing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441270"/>
    <w:pPr>
      <w:keepNext/>
      <w:keepLines/>
      <w:spacing w:before="40" w:after="0"/>
      <w:outlineLvl w:val="2"/>
    </w:pPr>
    <w:rPr>
      <w:rFonts w:ascii="Times New Roman" w:eastAsiaTheme="majorEastAsia" w:hAnsi="Times New Roman" w:cstheme="majorBidi"/>
      <w:i/>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70"/>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441270"/>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41270"/>
    <w:rPr>
      <w:rFonts w:ascii="Times New Roman" w:eastAsiaTheme="majorEastAsia" w:hAnsi="Times New Roman" w:cstheme="majorBidi"/>
      <w:i/>
      <w:sz w:val="24"/>
      <w:szCs w:val="24"/>
      <w:u w:val="single"/>
    </w:rPr>
  </w:style>
  <w:style w:type="paragraph" w:styleId="ListParagraph">
    <w:name w:val="List Paragraph"/>
    <w:basedOn w:val="Normal"/>
    <w:uiPriority w:val="34"/>
    <w:qFormat/>
    <w:rsid w:val="00441270"/>
    <w:pPr>
      <w:ind w:left="720"/>
      <w:contextualSpacing/>
    </w:pPr>
  </w:style>
  <w:style w:type="paragraph" w:customStyle="1" w:styleId="EndNoteBibliography">
    <w:name w:val="EndNote Bibliography"/>
    <w:basedOn w:val="Normal"/>
    <w:link w:val="EndNoteBibliographyChar"/>
    <w:rsid w:val="004412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41270"/>
    <w:rPr>
      <w:rFonts w:ascii="Calibri" w:hAnsi="Calibri" w:cs="Calibri"/>
      <w:noProof/>
    </w:rPr>
  </w:style>
  <w:style w:type="paragraph" w:styleId="BalloonText">
    <w:name w:val="Balloon Text"/>
    <w:basedOn w:val="Normal"/>
    <w:link w:val="BalloonTextChar"/>
    <w:uiPriority w:val="99"/>
    <w:semiHidden/>
    <w:unhideWhenUsed/>
    <w:rsid w:val="0044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70"/>
    <w:rPr>
      <w:rFonts w:ascii="Tahoma" w:hAnsi="Tahoma" w:cs="Tahoma"/>
      <w:sz w:val="16"/>
      <w:szCs w:val="16"/>
    </w:rPr>
  </w:style>
  <w:style w:type="paragraph" w:styleId="Header">
    <w:name w:val="header"/>
    <w:basedOn w:val="Normal"/>
    <w:link w:val="HeaderChar"/>
    <w:uiPriority w:val="99"/>
    <w:unhideWhenUsed/>
    <w:rsid w:val="00433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3A"/>
  </w:style>
  <w:style w:type="paragraph" w:styleId="Footer">
    <w:name w:val="footer"/>
    <w:basedOn w:val="Normal"/>
    <w:link w:val="FooterChar"/>
    <w:uiPriority w:val="99"/>
    <w:unhideWhenUsed/>
    <w:rsid w:val="00433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3A"/>
  </w:style>
  <w:style w:type="paragraph" w:customStyle="1" w:styleId="EndNoteBibliographyTitle">
    <w:name w:val="EndNote Bibliography Title"/>
    <w:basedOn w:val="Normal"/>
    <w:link w:val="EndNoteBibliographyTitleChar"/>
    <w:rsid w:val="005751D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51D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Jan-Walter De Neve</dc:creator>
  <cp:lastModifiedBy>Jan-Walter De Neve</cp:lastModifiedBy>
  <cp:revision>3</cp:revision>
  <dcterms:created xsi:type="dcterms:W3CDTF">2017-07-03T21:02:00Z</dcterms:created>
  <dcterms:modified xsi:type="dcterms:W3CDTF">2017-07-03T21:02:00Z</dcterms:modified>
</cp:coreProperties>
</file>