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pBdr/>
        <w:spacing w:line="480" w:lineRule="auto"/>
        <w:contextualSpacing w:val="0"/>
        <w:rPr/>
      </w:pPr>
      <w:bookmarkStart w:colFirst="0" w:colLast="0" w:name="_y24a2vuzp0kr" w:id="0"/>
      <w:bookmarkEnd w:id="0"/>
      <w:r w:rsidDel="00000000" w:rsidR="00000000" w:rsidRPr="00000000">
        <w:rPr>
          <w:rtl w:val="0"/>
        </w:rPr>
        <w:t xml:space="preserve">S5 Fig</w:t>
      </w:r>
    </w:p>
    <w:p w:rsidR="00000000" w:rsidDel="00000000" w:rsidP="00000000" w:rsidRDefault="00000000" w:rsidRPr="00000000">
      <w:pPr>
        <w:pStyle w:val="Heading2"/>
        <w:pBdr/>
        <w:spacing w:line="480" w:lineRule="auto"/>
        <w:contextualSpacing w:val="0"/>
        <w:rPr/>
      </w:pPr>
      <w:bookmarkStart w:colFirst="0" w:colLast="0" w:name="_r7xdk58hvfu4" w:id="1"/>
      <w:bookmarkEnd w:id="1"/>
      <w:r w:rsidDel="00000000" w:rsidR="00000000" w:rsidRPr="00000000">
        <w:rPr>
          <w:rtl w:val="0"/>
        </w:rPr>
        <w:t xml:space="preserve">S5A Fig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/>
      </w:pPr>
      <w:r w:rsidDel="00000000" w:rsidR="00000000" w:rsidRPr="00000000">
        <w:drawing>
          <wp:inline distB="19050" distT="19050" distL="19050" distR="19050">
            <wp:extent cx="3746500" cy="3721100"/>
            <wp:effectExtent b="0" l="0" r="0" t="0"/>
            <wp:docPr id="1" name="image06.png"/>
            <a:graphic>
              <a:graphicData uri="http://schemas.openxmlformats.org/drawingml/2006/picture">
                <pic:pic>
                  <pic:nvPicPr>
                    <pic:cNvPr id="0" name="image06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46500" cy="372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Hazard associated with log(missense SNV count per megabase) by level of immune cell (IC0, IC1 or IC2) PD-L1 expression.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2"/>
        <w:pBdr/>
        <w:spacing w:line="480" w:lineRule="auto"/>
        <w:contextualSpacing w:val="0"/>
        <w:rPr/>
      </w:pPr>
      <w:bookmarkStart w:colFirst="0" w:colLast="0" w:name="_q79qk14vhaqw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/>
        <w:spacing w:line="480" w:lineRule="auto"/>
        <w:contextualSpacing w:val="0"/>
        <w:rPr/>
      </w:pPr>
      <w:bookmarkStart w:colFirst="0" w:colLast="0" w:name="_foj6hs7hkmpd" w:id="3"/>
      <w:bookmarkEnd w:id="3"/>
      <w:r w:rsidDel="00000000" w:rsidR="00000000" w:rsidRPr="00000000">
        <w:rPr>
          <w:rtl w:val="0"/>
        </w:rPr>
        <w:t xml:space="preserve">S5B Fig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/>
      </w:pPr>
      <w:r w:rsidDel="00000000" w:rsidR="00000000" w:rsidRPr="00000000">
        <w:drawing>
          <wp:inline distB="19050" distT="19050" distL="19050" distR="19050">
            <wp:extent cx="5143500" cy="3721100"/>
            <wp:effectExtent b="0" l="0" r="0" t="0"/>
            <wp:docPr id="6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72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Hazard associated with log(missense SNV count per megabase) by presence or absence of liver metastasis at enrollment.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/>
        <w:spacing w:line="480" w:lineRule="auto"/>
        <w:contextualSpacing w:val="0"/>
        <w:rPr/>
      </w:pPr>
      <w:bookmarkStart w:colFirst="0" w:colLast="0" w:name="_de3kzc9c4lut" w:id="4"/>
      <w:bookmarkEnd w:id="4"/>
      <w:r w:rsidDel="00000000" w:rsidR="00000000" w:rsidRPr="00000000">
        <w:rPr>
          <w:rtl w:val="0"/>
        </w:rPr>
        <w:t xml:space="preserve">S5C Fig 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/>
      </w:pPr>
      <w:r w:rsidDel="00000000" w:rsidR="00000000" w:rsidRPr="00000000">
        <w:drawing>
          <wp:inline distB="19050" distT="19050" distL="19050" distR="19050">
            <wp:extent cx="3810000" cy="3810000"/>
            <wp:effectExtent b="0" l="0" r="0" t="0"/>
            <wp:docPr id="4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Association of peripheral TCR clonality prior to treatment with time to mortality (OS) varies according to immune cell (IC0, IC1 or IC2) PD-L1 expression.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2"/>
        <w:pBdr/>
        <w:spacing w:line="480" w:lineRule="auto"/>
        <w:contextualSpacing w:val="0"/>
        <w:rPr/>
      </w:pPr>
      <w:bookmarkStart w:colFirst="0" w:colLast="0" w:name="_h0dflhyzvh2j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/>
        <w:spacing w:line="480" w:lineRule="auto"/>
        <w:contextualSpacing w:val="0"/>
        <w:rPr/>
      </w:pPr>
      <w:bookmarkStart w:colFirst="0" w:colLast="0" w:name="_hfclbalmplj1" w:id="6"/>
      <w:bookmarkEnd w:id="6"/>
      <w:r w:rsidDel="00000000" w:rsidR="00000000" w:rsidRPr="00000000">
        <w:rPr>
          <w:rtl w:val="0"/>
        </w:rPr>
        <w:t xml:space="preserve">S5D Fig 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/>
      </w:pPr>
      <w:r w:rsidDel="00000000" w:rsidR="00000000" w:rsidRPr="00000000">
        <w:drawing>
          <wp:inline distB="19050" distT="19050" distL="19050" distR="19050">
            <wp:extent cx="2616200" cy="2590800"/>
            <wp:effectExtent b="0" l="0" r="0" t="0"/>
            <wp:docPr id="3" name="image09.png"/>
            <a:graphic>
              <a:graphicData uri="http://schemas.openxmlformats.org/drawingml/2006/picture">
                <pic:pic>
                  <pic:nvPicPr>
                    <pic:cNvPr id="0" name="image09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259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Association of peripheral TCR clonality prior to treatment with DCB varies according to immune cell (IC0, IC1 or IC2) PD-L1 expression.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2"/>
        <w:pBdr/>
        <w:spacing w:line="480" w:lineRule="auto"/>
        <w:contextualSpacing w:val="0"/>
        <w:rPr/>
      </w:pPr>
      <w:bookmarkStart w:colFirst="0" w:colLast="0" w:name="_22m2e6moxz3j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/>
        <w:spacing w:line="480" w:lineRule="auto"/>
        <w:contextualSpacing w:val="0"/>
        <w:rPr/>
      </w:pPr>
      <w:bookmarkStart w:colFirst="0" w:colLast="0" w:name="_ammbelwqlqj6" w:id="8"/>
      <w:bookmarkEnd w:id="8"/>
      <w:r w:rsidDel="00000000" w:rsidR="00000000" w:rsidRPr="00000000">
        <w:rPr>
          <w:rtl w:val="0"/>
        </w:rPr>
        <w:t xml:space="preserve">S5E Fig 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/>
      </w:pPr>
      <w:r w:rsidDel="00000000" w:rsidR="00000000" w:rsidRPr="00000000">
        <w:drawing>
          <wp:inline distB="19050" distT="19050" distL="19050" distR="19050">
            <wp:extent cx="2616200" cy="2590800"/>
            <wp:effectExtent b="0" l="0" r="0" t="0"/>
            <wp:docPr id="5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259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rPr>
          <w:rtl w:val="0"/>
        </w:rPr>
        <w:t xml:space="preserve">Association of peripheral TCR clonality prior to treatment with DCB (OS) varies according to immune cell (IC0, IC1 or IC2) PD-L1 expression.</w:t>
      </w:r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/>
        <w:spacing w:line="480" w:lineRule="auto"/>
        <w:contextualSpacing w:val="0"/>
        <w:rPr/>
      </w:pPr>
      <w:bookmarkStart w:colFirst="0" w:colLast="0" w:name="_bl4tlgehhiao" w:id="9"/>
      <w:bookmarkEnd w:id="9"/>
      <w:r w:rsidDel="00000000" w:rsidR="00000000" w:rsidRPr="00000000">
        <w:rPr>
          <w:rtl w:val="0"/>
        </w:rPr>
        <w:t xml:space="preserve">S5F Fig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>
          <w:sz w:val="21"/>
          <w:szCs w:val="21"/>
          <w:highlight w:val="white"/>
        </w:rPr>
      </w:pPr>
      <w:r w:rsidDel="00000000" w:rsidR="00000000" w:rsidRPr="00000000">
        <w:drawing>
          <wp:inline distB="19050" distT="19050" distL="19050" distR="19050">
            <wp:extent cx="3911600" cy="3784600"/>
            <wp:effectExtent b="0" l="0" r="0" t="0"/>
            <wp:docPr id="7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11600" cy="3784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/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There was no significant relationship between 5-Factor score and pre-treatment TCR clonality (</w:t>
      </w:r>
      <w:hyperlink r:id="rId11">
        <w:r w:rsidDel="00000000" w:rsidR="00000000" w:rsidRPr="00000000">
          <w:rPr>
            <w:sz w:val="21"/>
            <w:szCs w:val="21"/>
            <w:highlight w:val="white"/>
            <w:rtl w:val="0"/>
          </w:rPr>
          <w:t xml:space="preserve">n=26, Spearman rho=0.25 p=0.22</w:t>
        </w:r>
      </w:hyperlink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/>
        <w:spacing w:line="480" w:lineRule="auto"/>
        <w:contextualSpacing w:val="0"/>
        <w:rPr/>
      </w:pPr>
      <w:bookmarkStart w:colFirst="0" w:colLast="0" w:name="_ysmfwmdsqrlw" w:id="10"/>
      <w:bookmarkEnd w:id="10"/>
      <w:r w:rsidDel="00000000" w:rsidR="00000000" w:rsidRPr="00000000">
        <w:rPr>
          <w:rtl w:val="0"/>
        </w:rPr>
        <w:t xml:space="preserve">S5G Fig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/>
      </w:pPr>
      <w:r w:rsidDel="00000000" w:rsidR="00000000" w:rsidRPr="00000000">
        <w:drawing>
          <wp:inline distB="19050" distT="19050" distL="19050" distR="19050">
            <wp:extent cx="5626100" cy="3721100"/>
            <wp:effectExtent b="0" l="0" r="0" t="0"/>
            <wp:docPr id="2" name="image07.png"/>
            <a:graphic>
              <a:graphicData uri="http://schemas.openxmlformats.org/drawingml/2006/picture">
                <pic:pic>
                  <pic:nvPicPr>
                    <pic:cNvPr id="0" name="image07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26100" cy="372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Multivariate survival analysis of various clinical, peripheral and intratumoral biomarkers for association with time to mortality (OS), utilizing a varying-coefficient model which allows the hazard associated with a one-unit increase in a biomarker’s value to vary according to level of intratumoral PD-L1 expression (IC score). Note that the x-axis has been truncated at a value of 10 for clarity even though this results in the exclusion of some estimated HR values (specifically that for pre-treatment peripheral TCR clonality among IC2 patients).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yperlink" Target="https://github.com/hammerlab/bladder-analyses/blob/master/analyses/notebooks/Explore%20TCR%20Clonality%20vs.%205-Factor.ipynb?hyper=five_factor_vs_tcr_spearmanr" TargetMode="External"/><Relationship Id="rId10" Type="http://schemas.openxmlformats.org/officeDocument/2006/relationships/image" Target="media/image13.png"/><Relationship Id="rId12" Type="http://schemas.openxmlformats.org/officeDocument/2006/relationships/image" Target="media/image07.png"/><Relationship Id="rId9" Type="http://schemas.openxmlformats.org/officeDocument/2006/relationships/image" Target="media/image11.png"/><Relationship Id="rId5" Type="http://schemas.openxmlformats.org/officeDocument/2006/relationships/image" Target="media/image06.png"/><Relationship Id="rId6" Type="http://schemas.openxmlformats.org/officeDocument/2006/relationships/image" Target="media/image12.png"/><Relationship Id="rId7" Type="http://schemas.openxmlformats.org/officeDocument/2006/relationships/image" Target="media/image10.png"/><Relationship Id="rId8" Type="http://schemas.openxmlformats.org/officeDocument/2006/relationships/image" Target="media/image09.png"/></Relationships>
</file>