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4D" w:rsidRPr="00EE7730" w:rsidRDefault="0066414D" w:rsidP="0066414D">
      <w:pPr>
        <w:rPr>
          <w:rFonts w:ascii="Times New Roman" w:eastAsia="Times New Roman" w:hAnsi="Times New Roman" w:cs="Times New Roman"/>
          <w:b/>
          <w:sz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lang w:val="en-GB"/>
        </w:rPr>
        <w:t>S3 Figure</w:t>
      </w:r>
      <w:r w:rsidRPr="00EE7730">
        <w:rPr>
          <w:rFonts w:ascii="Times New Roman" w:eastAsia="Times New Roman" w:hAnsi="Times New Roman" w:cs="Times New Roman"/>
          <w:b/>
          <w:sz w:val="20"/>
          <w:lang w:val="en-GB"/>
        </w:rPr>
        <w:t>. Standardised bed day ratio (SBDR) with cancer recurrence or new primary cancers by childhood cancer type.</w:t>
      </w:r>
    </w:p>
    <w:p w:rsidR="00524092" w:rsidRPr="0066414D" w:rsidRDefault="0066414D">
      <w:pPr>
        <w:rPr>
          <w:lang w:val="en-GB"/>
        </w:rPr>
      </w:pPr>
      <w:bookmarkStart w:id="0" w:name="_GoBack"/>
      <w:r w:rsidRPr="00EE7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66E21" wp14:editId="13EB934D">
            <wp:extent cx="5761239" cy="2592000"/>
            <wp:effectExtent l="0" t="0" r="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3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4092" w:rsidRPr="0066414D" w:rsidSect="0066414D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D"/>
    <w:rsid w:val="00524092"/>
    <w:rsid w:val="006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4495E-6840-4BC8-AB5E-248CC015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de Fine Licht</dc:creator>
  <cp:keywords/>
  <dc:description/>
  <cp:lastModifiedBy>Sofie de Fine Licht</cp:lastModifiedBy>
  <cp:revision>1</cp:revision>
  <dcterms:created xsi:type="dcterms:W3CDTF">2017-03-24T12:13:00Z</dcterms:created>
  <dcterms:modified xsi:type="dcterms:W3CDTF">2017-03-24T12:14:00Z</dcterms:modified>
</cp:coreProperties>
</file>