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4C94" w14:textId="6599F485" w:rsidR="002C088F" w:rsidRPr="002C088F" w:rsidRDefault="002C088F" w:rsidP="002C088F">
      <w:pPr>
        <w:tabs>
          <w:tab w:val="left" w:pos="900"/>
        </w:tabs>
        <w:rPr>
          <w:lang w:val="en-US"/>
        </w:rPr>
      </w:pPr>
      <w:bookmarkStart w:id="0" w:name="_GoBack"/>
      <w:bookmarkEnd w:id="0"/>
      <w:r w:rsidRPr="002C088F">
        <w:rPr>
          <w:b/>
          <w:lang w:val="en-US"/>
        </w:rPr>
        <w:t xml:space="preserve">Table </w:t>
      </w:r>
      <w:r>
        <w:rPr>
          <w:b/>
          <w:lang w:val="en-US"/>
        </w:rPr>
        <w:t>S3</w:t>
      </w:r>
      <w:r w:rsidR="00D37644">
        <w:rPr>
          <w:b/>
          <w:lang w:val="en-US"/>
        </w:rPr>
        <w:t>.</w:t>
      </w:r>
      <w:r w:rsidRPr="002C088F">
        <w:rPr>
          <w:lang w:val="en-US"/>
        </w:rPr>
        <w:t xml:space="preserve"> </w:t>
      </w:r>
      <w:r>
        <w:rPr>
          <w:lang w:val="en-US"/>
        </w:rPr>
        <w:t xml:space="preserve">Values for </w:t>
      </w:r>
      <w:r w:rsidRPr="002C088F">
        <w:rPr>
          <w:lang w:val="en-US"/>
        </w:rPr>
        <w:t xml:space="preserve">attachment security and demographic variables </w:t>
      </w:r>
      <w:r>
        <w:rPr>
          <w:lang w:val="en-US"/>
        </w:rPr>
        <w:t>in</w:t>
      </w:r>
      <w:r w:rsidRPr="002C088F">
        <w:rPr>
          <w:lang w:val="en-US"/>
        </w:rPr>
        <w:t xml:space="preserve"> the sample of 220 adolescents included in the study </w:t>
      </w:r>
      <w:r>
        <w:rPr>
          <w:lang w:val="en-US"/>
        </w:rPr>
        <w:t>compared to</w:t>
      </w:r>
      <w:r w:rsidRPr="002C088F">
        <w:rPr>
          <w:lang w:val="en-US"/>
        </w:rPr>
        <w:t xml:space="preserve"> the rest of the original sample of 449 who were either lost to follow-up (91), had died (24), or who were followed up at adolescence but did not have both attachment and 5HTTLPR genotype data (114), making a total of 229 </w:t>
      </w:r>
      <w:r w:rsidR="00936B7B">
        <w:rPr>
          <w:lang w:val="en-US"/>
        </w:rPr>
        <w:t>being not included in this study</w:t>
      </w:r>
      <w:r w:rsidRPr="002C088F">
        <w:rPr>
          <w:lang w:val="en-US"/>
        </w:rPr>
        <w:t xml:space="preserve">. </w:t>
      </w:r>
      <w:r>
        <w:rPr>
          <w:lang w:val="en-US"/>
        </w:rPr>
        <w:t>Statistical comparisons are given in Table 2.</w:t>
      </w:r>
    </w:p>
    <w:p w14:paraId="1849DCF5" w14:textId="77777777" w:rsidR="002C088F" w:rsidRDefault="002C088F" w:rsidP="002705BC">
      <w:pPr>
        <w:tabs>
          <w:tab w:val="left" w:pos="900"/>
        </w:tabs>
      </w:pPr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1356"/>
        <w:gridCol w:w="1424"/>
        <w:gridCol w:w="1684"/>
        <w:gridCol w:w="1405"/>
        <w:gridCol w:w="1185"/>
      </w:tblGrid>
      <w:tr w:rsidR="00936B7B" w:rsidRPr="00E7566F" w14:paraId="3E82B764" w14:textId="77777777" w:rsidTr="009A01C2">
        <w:trPr>
          <w:trHeight w:val="315"/>
        </w:trPr>
        <w:tc>
          <w:tcPr>
            <w:tcW w:w="1356" w:type="dxa"/>
            <w:noWrap/>
            <w:vAlign w:val="center"/>
            <w:hideMark/>
          </w:tcPr>
          <w:p w14:paraId="6A20CB07" w14:textId="77777777" w:rsidR="00936B7B" w:rsidRPr="00E7566F" w:rsidRDefault="00936B7B" w:rsidP="009D6222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424" w:type="dxa"/>
            <w:noWrap/>
            <w:vAlign w:val="center"/>
            <w:hideMark/>
          </w:tcPr>
          <w:p w14:paraId="0948E116" w14:textId="77777777" w:rsidR="00936B7B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 xml:space="preserve">N </w:t>
            </w:r>
          </w:p>
          <w:p w14:paraId="0719C096" w14:textId="4BEFCC34" w:rsidR="00936B7B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</w:t>
            </w:r>
          </w:p>
          <w:p w14:paraId="01FDE355" w14:textId="1A74AE21" w:rsidR="00936B7B" w:rsidRPr="00E7566F" w:rsidRDefault="00936B7B" w:rsidP="00936B7B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not included</w:t>
            </w:r>
          </w:p>
        </w:tc>
        <w:tc>
          <w:tcPr>
            <w:tcW w:w="1684" w:type="dxa"/>
            <w:noWrap/>
            <w:vAlign w:val="center"/>
            <w:hideMark/>
          </w:tcPr>
          <w:p w14:paraId="31203BA7" w14:textId="77777777" w:rsidR="00936B7B" w:rsidRPr="00E7566F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Units</w:t>
            </w:r>
          </w:p>
        </w:tc>
        <w:tc>
          <w:tcPr>
            <w:tcW w:w="1405" w:type="dxa"/>
            <w:noWrap/>
            <w:vAlign w:val="center"/>
            <w:hideMark/>
          </w:tcPr>
          <w:p w14:paraId="3C9D3214" w14:textId="7AB84E7E" w:rsidR="00936B7B" w:rsidRPr="00E7566F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</w:t>
            </w:r>
          </w:p>
        </w:tc>
        <w:tc>
          <w:tcPr>
            <w:tcW w:w="1185" w:type="dxa"/>
            <w:noWrap/>
            <w:vAlign w:val="center"/>
            <w:hideMark/>
          </w:tcPr>
          <w:p w14:paraId="75970AB5" w14:textId="642B886E" w:rsidR="00936B7B" w:rsidRPr="00E7566F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included</w:t>
            </w:r>
          </w:p>
        </w:tc>
      </w:tr>
      <w:tr w:rsidR="001F0971" w:rsidRPr="00E7566F" w14:paraId="62FF5600" w14:textId="77777777" w:rsidTr="009A01C2">
        <w:trPr>
          <w:trHeight w:val="315"/>
        </w:trPr>
        <w:tc>
          <w:tcPr>
            <w:tcW w:w="1356" w:type="dxa"/>
            <w:noWrap/>
            <w:vAlign w:val="center"/>
          </w:tcPr>
          <w:p w14:paraId="1981BC25" w14:textId="789335E2" w:rsidR="001F0971" w:rsidRPr="00E7566F" w:rsidRDefault="001F0971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424" w:type="dxa"/>
            <w:noWrap/>
            <w:vAlign w:val="center"/>
          </w:tcPr>
          <w:p w14:paraId="211B8EAA" w14:textId="26166F7C" w:rsidR="001F0971" w:rsidRDefault="00D6318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220/229</w:t>
            </w:r>
          </w:p>
        </w:tc>
        <w:tc>
          <w:tcPr>
            <w:tcW w:w="1684" w:type="dxa"/>
            <w:noWrap/>
            <w:vAlign w:val="center"/>
          </w:tcPr>
          <w:p w14:paraId="393CE494" w14:textId="645D0C0B" w:rsidR="001F0971" w:rsidRPr="00E7566F" w:rsidRDefault="00E10697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1405" w:type="dxa"/>
            <w:noWrap/>
            <w:vAlign w:val="center"/>
          </w:tcPr>
          <w:p w14:paraId="7019CCEB" w14:textId="672808E8" w:rsidR="001F0971" w:rsidRPr="00E7566F" w:rsidRDefault="00E10697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85" w:type="dxa"/>
            <w:noWrap/>
            <w:vAlign w:val="center"/>
          </w:tcPr>
          <w:p w14:paraId="28D73454" w14:textId="355DB651" w:rsidR="001F0971" w:rsidRPr="00E7566F" w:rsidRDefault="00E10697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936B7B" w:rsidRPr="00E7566F" w14:paraId="3FEFE603" w14:textId="77777777" w:rsidTr="009A01C2">
        <w:trPr>
          <w:trHeight w:val="315"/>
        </w:trPr>
        <w:tc>
          <w:tcPr>
            <w:tcW w:w="1356" w:type="dxa"/>
            <w:noWrap/>
            <w:vAlign w:val="center"/>
            <w:hideMark/>
          </w:tcPr>
          <w:p w14:paraId="37C257E9" w14:textId="77777777" w:rsidR="00936B7B" w:rsidRPr="00E7566F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Attachment security</w:t>
            </w:r>
          </w:p>
        </w:tc>
        <w:tc>
          <w:tcPr>
            <w:tcW w:w="1424" w:type="dxa"/>
            <w:noWrap/>
            <w:vAlign w:val="center"/>
            <w:hideMark/>
          </w:tcPr>
          <w:p w14:paraId="35B364A8" w14:textId="43233CD7" w:rsidR="00936B7B" w:rsidRPr="00E7566F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1F0971">
              <w:rPr>
                <w:sz w:val="22"/>
                <w:szCs w:val="22"/>
              </w:rPr>
              <w:t>/45</w:t>
            </w:r>
          </w:p>
        </w:tc>
        <w:tc>
          <w:tcPr>
            <w:tcW w:w="1684" w:type="dxa"/>
            <w:noWrap/>
            <w:vAlign w:val="center"/>
            <w:hideMark/>
          </w:tcPr>
          <w:p w14:paraId="6C0C9703" w14:textId="77777777" w:rsidR="00936B7B" w:rsidRPr="00E7566F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secure/insecure</w:t>
            </w:r>
          </w:p>
        </w:tc>
        <w:tc>
          <w:tcPr>
            <w:tcW w:w="1405" w:type="dxa"/>
            <w:noWrap/>
            <w:vAlign w:val="center"/>
            <w:hideMark/>
          </w:tcPr>
          <w:p w14:paraId="3A0A3365" w14:textId="52058032" w:rsidR="00936B7B" w:rsidRPr="00E7566F" w:rsidRDefault="001F0971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155/65</w:t>
            </w:r>
          </w:p>
        </w:tc>
        <w:tc>
          <w:tcPr>
            <w:tcW w:w="1185" w:type="dxa"/>
            <w:noWrap/>
            <w:vAlign w:val="center"/>
            <w:hideMark/>
          </w:tcPr>
          <w:p w14:paraId="34627359" w14:textId="7F1E62FB" w:rsidR="00936B7B" w:rsidRPr="00E7566F" w:rsidRDefault="001F0971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</w:t>
            </w:r>
            <w:r w:rsidR="00936B7B" w:rsidRPr="00E7566F">
              <w:rPr>
                <w:sz w:val="22"/>
                <w:szCs w:val="22"/>
              </w:rPr>
              <w:t>8</w:t>
            </w:r>
          </w:p>
        </w:tc>
      </w:tr>
      <w:tr w:rsidR="0017212E" w:rsidRPr="00E7566F" w14:paraId="15B945AF" w14:textId="77777777" w:rsidTr="009A01C2">
        <w:trPr>
          <w:trHeight w:val="315"/>
        </w:trPr>
        <w:tc>
          <w:tcPr>
            <w:tcW w:w="1356" w:type="dxa"/>
            <w:noWrap/>
            <w:vAlign w:val="center"/>
          </w:tcPr>
          <w:p w14:paraId="0FDE9C69" w14:textId="7FB30B9C" w:rsidR="0017212E" w:rsidRPr="00E7566F" w:rsidRDefault="0017212E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5HTTLPR</w:t>
            </w:r>
          </w:p>
        </w:tc>
        <w:tc>
          <w:tcPr>
            <w:tcW w:w="1424" w:type="dxa"/>
            <w:noWrap/>
            <w:vAlign w:val="center"/>
          </w:tcPr>
          <w:p w14:paraId="6A231014" w14:textId="79B517EB" w:rsidR="0017212E" w:rsidRPr="00E7566F" w:rsidRDefault="0017212E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220/59</w:t>
            </w:r>
          </w:p>
        </w:tc>
        <w:tc>
          <w:tcPr>
            <w:tcW w:w="1684" w:type="dxa"/>
            <w:noWrap/>
            <w:vAlign w:val="center"/>
          </w:tcPr>
          <w:p w14:paraId="5E2CC859" w14:textId="1AB59595" w:rsidR="0017212E" w:rsidRPr="00E7566F" w:rsidRDefault="0017212E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&amp; SL/LL</w:t>
            </w:r>
          </w:p>
        </w:tc>
        <w:tc>
          <w:tcPr>
            <w:tcW w:w="1405" w:type="dxa"/>
            <w:noWrap/>
            <w:vAlign w:val="center"/>
          </w:tcPr>
          <w:p w14:paraId="770EEC8C" w14:textId="208A6E45" w:rsidR="0017212E" w:rsidRPr="00E7566F" w:rsidRDefault="0017212E" w:rsidP="0017212E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89/131</w:t>
            </w:r>
          </w:p>
        </w:tc>
        <w:tc>
          <w:tcPr>
            <w:tcW w:w="1185" w:type="dxa"/>
            <w:noWrap/>
            <w:vAlign w:val="center"/>
          </w:tcPr>
          <w:p w14:paraId="1295BE7C" w14:textId="77C62657" w:rsidR="0017212E" w:rsidRPr="00E7566F" w:rsidRDefault="0017212E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23/36</w:t>
            </w:r>
          </w:p>
        </w:tc>
      </w:tr>
      <w:tr w:rsidR="00936B7B" w:rsidRPr="00E7566F" w14:paraId="13B4C765" w14:textId="77777777" w:rsidTr="009A01C2">
        <w:trPr>
          <w:trHeight w:val="315"/>
        </w:trPr>
        <w:tc>
          <w:tcPr>
            <w:tcW w:w="1356" w:type="dxa"/>
            <w:noWrap/>
            <w:vAlign w:val="center"/>
            <w:hideMark/>
          </w:tcPr>
          <w:p w14:paraId="7157E245" w14:textId="03697C5F" w:rsidR="00936B7B" w:rsidRPr="000A3774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0A3774">
              <w:rPr>
                <w:sz w:val="22"/>
                <w:szCs w:val="22"/>
              </w:rPr>
              <w:t>Sex</w:t>
            </w:r>
          </w:p>
        </w:tc>
        <w:tc>
          <w:tcPr>
            <w:tcW w:w="1424" w:type="dxa"/>
            <w:noWrap/>
            <w:vAlign w:val="center"/>
            <w:hideMark/>
          </w:tcPr>
          <w:p w14:paraId="53906175" w14:textId="0A51880D" w:rsidR="00936B7B" w:rsidRPr="000A3774" w:rsidRDefault="004C0D68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0A3774">
              <w:rPr>
                <w:sz w:val="22"/>
                <w:szCs w:val="22"/>
              </w:rPr>
              <w:t>220/204</w:t>
            </w:r>
          </w:p>
        </w:tc>
        <w:tc>
          <w:tcPr>
            <w:tcW w:w="1684" w:type="dxa"/>
            <w:noWrap/>
            <w:vAlign w:val="center"/>
            <w:hideMark/>
          </w:tcPr>
          <w:p w14:paraId="30763F2A" w14:textId="77777777" w:rsidR="00936B7B" w:rsidRPr="000A3774" w:rsidRDefault="00936B7B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0A3774">
              <w:rPr>
                <w:sz w:val="22"/>
                <w:szCs w:val="22"/>
              </w:rPr>
              <w:t>male/female</w:t>
            </w:r>
          </w:p>
        </w:tc>
        <w:tc>
          <w:tcPr>
            <w:tcW w:w="1405" w:type="dxa"/>
            <w:noWrap/>
            <w:vAlign w:val="center"/>
            <w:hideMark/>
          </w:tcPr>
          <w:p w14:paraId="4362082C" w14:textId="561B4ECC" w:rsidR="00936B7B" w:rsidRPr="000A3774" w:rsidRDefault="001F0971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0A3774">
              <w:rPr>
                <w:sz w:val="22"/>
                <w:szCs w:val="22"/>
              </w:rPr>
              <w:t>105/115</w:t>
            </w:r>
          </w:p>
        </w:tc>
        <w:tc>
          <w:tcPr>
            <w:tcW w:w="1185" w:type="dxa"/>
            <w:noWrap/>
            <w:vAlign w:val="center"/>
            <w:hideMark/>
          </w:tcPr>
          <w:p w14:paraId="22E058A0" w14:textId="6792E2DC" w:rsidR="00936B7B" w:rsidRPr="000A3774" w:rsidRDefault="001F0971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0A3774">
              <w:rPr>
                <w:sz w:val="22"/>
                <w:szCs w:val="22"/>
              </w:rPr>
              <w:t>102/102</w:t>
            </w:r>
          </w:p>
        </w:tc>
      </w:tr>
      <w:tr w:rsidR="00837DA6" w:rsidRPr="00E7566F" w14:paraId="2D62199E" w14:textId="77777777" w:rsidTr="009A01C2">
        <w:trPr>
          <w:trHeight w:val="315"/>
        </w:trPr>
        <w:tc>
          <w:tcPr>
            <w:tcW w:w="1356" w:type="dxa"/>
            <w:noWrap/>
            <w:vAlign w:val="center"/>
          </w:tcPr>
          <w:p w14:paraId="0732B7A2" w14:textId="5E206A73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Housing type</w:t>
            </w:r>
          </w:p>
        </w:tc>
        <w:tc>
          <w:tcPr>
            <w:tcW w:w="1424" w:type="dxa"/>
            <w:noWrap/>
            <w:vAlign w:val="center"/>
          </w:tcPr>
          <w:p w14:paraId="3FBB7F25" w14:textId="1CA09AC4" w:rsidR="00837DA6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218/227</w:t>
            </w:r>
          </w:p>
        </w:tc>
        <w:tc>
          <w:tcPr>
            <w:tcW w:w="1684" w:type="dxa"/>
            <w:noWrap/>
            <w:vAlign w:val="center"/>
          </w:tcPr>
          <w:p w14:paraId="17097840" w14:textId="585E2306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Formal/informal</w:t>
            </w:r>
          </w:p>
        </w:tc>
        <w:tc>
          <w:tcPr>
            <w:tcW w:w="1405" w:type="dxa"/>
            <w:noWrap/>
            <w:vAlign w:val="center"/>
          </w:tcPr>
          <w:p w14:paraId="6156DF81" w14:textId="2E728482" w:rsidR="00837DA6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184/34</w:t>
            </w:r>
          </w:p>
        </w:tc>
        <w:tc>
          <w:tcPr>
            <w:tcW w:w="1185" w:type="dxa"/>
            <w:noWrap/>
            <w:vAlign w:val="center"/>
          </w:tcPr>
          <w:p w14:paraId="5CC930CD" w14:textId="7A523535" w:rsidR="00837DA6" w:rsidRDefault="00837DA6" w:rsidP="001227FF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196/31</w:t>
            </w:r>
          </w:p>
        </w:tc>
      </w:tr>
      <w:tr w:rsidR="00837DA6" w:rsidRPr="00E7566F" w14:paraId="39DCC035" w14:textId="77777777" w:rsidTr="0030563A">
        <w:trPr>
          <w:trHeight w:val="315"/>
        </w:trPr>
        <w:tc>
          <w:tcPr>
            <w:tcW w:w="1356" w:type="dxa"/>
            <w:noWrap/>
            <w:vAlign w:val="center"/>
            <w:hideMark/>
          </w:tcPr>
          <w:p w14:paraId="7BDE279A" w14:textId="77777777" w:rsidR="00837DA6" w:rsidRPr="00E7566F" w:rsidRDefault="00837DA6" w:rsidP="0030563A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Employment</w:t>
            </w:r>
          </w:p>
        </w:tc>
        <w:tc>
          <w:tcPr>
            <w:tcW w:w="1424" w:type="dxa"/>
            <w:noWrap/>
            <w:vAlign w:val="center"/>
            <w:hideMark/>
          </w:tcPr>
          <w:p w14:paraId="14A241D9" w14:textId="77777777" w:rsidR="00837DA6" w:rsidRPr="00E7566F" w:rsidRDefault="00837DA6" w:rsidP="0030563A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220/227</w:t>
            </w:r>
          </w:p>
        </w:tc>
        <w:tc>
          <w:tcPr>
            <w:tcW w:w="1684" w:type="dxa"/>
            <w:noWrap/>
            <w:vAlign w:val="center"/>
            <w:hideMark/>
          </w:tcPr>
          <w:p w14:paraId="2FC4E1E6" w14:textId="77777777" w:rsidR="00837DA6" w:rsidRPr="00E7566F" w:rsidRDefault="00837DA6" w:rsidP="0030563A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Yes/no</w:t>
            </w:r>
          </w:p>
        </w:tc>
        <w:tc>
          <w:tcPr>
            <w:tcW w:w="1405" w:type="dxa"/>
            <w:noWrap/>
            <w:vAlign w:val="center"/>
            <w:hideMark/>
          </w:tcPr>
          <w:p w14:paraId="2F1AF3A5" w14:textId="77777777" w:rsidR="00837DA6" w:rsidRPr="00E7566F" w:rsidRDefault="00837DA6" w:rsidP="0030563A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25/195</w:t>
            </w:r>
          </w:p>
        </w:tc>
        <w:tc>
          <w:tcPr>
            <w:tcW w:w="1185" w:type="dxa"/>
            <w:noWrap/>
            <w:vAlign w:val="center"/>
            <w:hideMark/>
          </w:tcPr>
          <w:p w14:paraId="3801D889" w14:textId="77777777" w:rsidR="00837DA6" w:rsidRPr="00E7566F" w:rsidRDefault="00837DA6" w:rsidP="0030563A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17/210</w:t>
            </w:r>
          </w:p>
        </w:tc>
      </w:tr>
      <w:tr w:rsidR="00837DA6" w:rsidRPr="00E7566F" w14:paraId="6CAE52D5" w14:textId="77777777" w:rsidTr="00837DA6">
        <w:trPr>
          <w:trHeight w:val="315"/>
        </w:trPr>
        <w:tc>
          <w:tcPr>
            <w:tcW w:w="1356" w:type="dxa"/>
            <w:noWrap/>
            <w:vAlign w:val="center"/>
          </w:tcPr>
          <w:p w14:paraId="0853FDDF" w14:textId="36AF61A1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Education</w:t>
            </w:r>
          </w:p>
        </w:tc>
        <w:tc>
          <w:tcPr>
            <w:tcW w:w="1424" w:type="dxa"/>
            <w:noWrap/>
            <w:vAlign w:val="center"/>
          </w:tcPr>
          <w:p w14:paraId="193F0731" w14:textId="01412FFD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220/227</w:t>
            </w:r>
          </w:p>
        </w:tc>
        <w:tc>
          <w:tcPr>
            <w:tcW w:w="1684" w:type="dxa"/>
            <w:noWrap/>
            <w:vAlign w:val="center"/>
          </w:tcPr>
          <w:p w14:paraId="0D17C83C" w14:textId="3CDAAFDD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Mean (</w:t>
            </w:r>
            <w:proofErr w:type="spellStart"/>
            <w:r w:rsidRPr="00E7566F">
              <w:rPr>
                <w:sz w:val="22"/>
                <w:szCs w:val="22"/>
              </w:rPr>
              <w:t>std</w:t>
            </w:r>
            <w:proofErr w:type="spellEnd"/>
            <w:r w:rsidRPr="00E7566F">
              <w:rPr>
                <w:sz w:val="22"/>
                <w:szCs w:val="22"/>
              </w:rPr>
              <w:t xml:space="preserve"> </w:t>
            </w:r>
            <w:proofErr w:type="spellStart"/>
            <w:r w:rsidRPr="00E7566F">
              <w:rPr>
                <w:sz w:val="22"/>
                <w:szCs w:val="22"/>
              </w:rPr>
              <w:t>dev</w:t>
            </w:r>
            <w:proofErr w:type="spellEnd"/>
            <w:r w:rsidRPr="00E7566F">
              <w:rPr>
                <w:sz w:val="22"/>
                <w:szCs w:val="22"/>
              </w:rPr>
              <w:t>)</w:t>
            </w:r>
          </w:p>
        </w:tc>
        <w:tc>
          <w:tcPr>
            <w:tcW w:w="1405" w:type="dxa"/>
            <w:noWrap/>
            <w:vAlign w:val="center"/>
          </w:tcPr>
          <w:p w14:paraId="64695945" w14:textId="2C99788B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8.48</w:t>
            </w:r>
            <w:r w:rsidRPr="00E7566F">
              <w:rPr>
                <w:sz w:val="22"/>
                <w:szCs w:val="22"/>
              </w:rPr>
              <w:t xml:space="preserve"> (8.9</w:t>
            </w:r>
            <w:r>
              <w:rPr>
                <w:sz w:val="22"/>
                <w:szCs w:val="22"/>
              </w:rPr>
              <w:t>4</w:t>
            </w:r>
            <w:r w:rsidRPr="00E7566F">
              <w:rPr>
                <w:sz w:val="22"/>
                <w:szCs w:val="22"/>
              </w:rPr>
              <w:t>)</w:t>
            </w:r>
          </w:p>
        </w:tc>
        <w:tc>
          <w:tcPr>
            <w:tcW w:w="1185" w:type="dxa"/>
            <w:noWrap/>
            <w:vAlign w:val="center"/>
          </w:tcPr>
          <w:p w14:paraId="3892A41A" w14:textId="16B247D6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7.87 (6.42</w:t>
            </w:r>
            <w:r w:rsidRPr="00E7566F">
              <w:rPr>
                <w:sz w:val="22"/>
                <w:szCs w:val="22"/>
              </w:rPr>
              <w:t>)</w:t>
            </w:r>
          </w:p>
        </w:tc>
      </w:tr>
      <w:tr w:rsidR="00837DA6" w:rsidRPr="00E7566F" w14:paraId="5F8C9D87" w14:textId="77777777" w:rsidTr="009A01C2">
        <w:trPr>
          <w:trHeight w:val="315"/>
        </w:trPr>
        <w:tc>
          <w:tcPr>
            <w:tcW w:w="1356" w:type="dxa"/>
            <w:noWrap/>
            <w:vAlign w:val="center"/>
            <w:hideMark/>
          </w:tcPr>
          <w:p w14:paraId="76ACA9F7" w14:textId="77777777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Running water</w:t>
            </w:r>
          </w:p>
        </w:tc>
        <w:tc>
          <w:tcPr>
            <w:tcW w:w="1424" w:type="dxa"/>
            <w:noWrap/>
            <w:vAlign w:val="center"/>
            <w:hideMark/>
          </w:tcPr>
          <w:p w14:paraId="59015AD8" w14:textId="1683EC4B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217/226</w:t>
            </w:r>
          </w:p>
        </w:tc>
        <w:tc>
          <w:tcPr>
            <w:tcW w:w="1684" w:type="dxa"/>
            <w:noWrap/>
            <w:vAlign w:val="center"/>
            <w:hideMark/>
          </w:tcPr>
          <w:p w14:paraId="60678409" w14:textId="77777777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Yes/no</w:t>
            </w:r>
          </w:p>
        </w:tc>
        <w:tc>
          <w:tcPr>
            <w:tcW w:w="1405" w:type="dxa"/>
            <w:noWrap/>
            <w:vAlign w:val="center"/>
            <w:hideMark/>
          </w:tcPr>
          <w:p w14:paraId="7E4149A6" w14:textId="541912ED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Pr="00E7566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185" w:type="dxa"/>
            <w:noWrap/>
            <w:vAlign w:val="center"/>
            <w:hideMark/>
          </w:tcPr>
          <w:p w14:paraId="29B3533A" w14:textId="24465DDB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109/117</w:t>
            </w:r>
          </w:p>
        </w:tc>
      </w:tr>
      <w:tr w:rsidR="00837DA6" w:rsidRPr="00E7566F" w14:paraId="69F016F3" w14:textId="77777777" w:rsidTr="009A01C2">
        <w:trPr>
          <w:trHeight w:val="315"/>
        </w:trPr>
        <w:tc>
          <w:tcPr>
            <w:tcW w:w="1356" w:type="dxa"/>
            <w:noWrap/>
            <w:vAlign w:val="center"/>
            <w:hideMark/>
          </w:tcPr>
          <w:p w14:paraId="30842C7F" w14:textId="77777777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Electricity</w:t>
            </w:r>
          </w:p>
        </w:tc>
        <w:tc>
          <w:tcPr>
            <w:tcW w:w="1424" w:type="dxa"/>
            <w:noWrap/>
            <w:vAlign w:val="center"/>
            <w:hideMark/>
          </w:tcPr>
          <w:p w14:paraId="59ABBF8E" w14:textId="7EAA8FBC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220/228</w:t>
            </w:r>
          </w:p>
        </w:tc>
        <w:tc>
          <w:tcPr>
            <w:tcW w:w="1684" w:type="dxa"/>
            <w:noWrap/>
            <w:vAlign w:val="center"/>
            <w:hideMark/>
          </w:tcPr>
          <w:p w14:paraId="4DFAAF29" w14:textId="77777777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E7566F">
              <w:rPr>
                <w:sz w:val="22"/>
                <w:szCs w:val="22"/>
              </w:rPr>
              <w:t>Yes/no</w:t>
            </w:r>
          </w:p>
        </w:tc>
        <w:tc>
          <w:tcPr>
            <w:tcW w:w="1405" w:type="dxa"/>
            <w:noWrap/>
            <w:vAlign w:val="center"/>
            <w:hideMark/>
          </w:tcPr>
          <w:p w14:paraId="251E8DFD" w14:textId="733D840E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122/98</w:t>
            </w:r>
          </w:p>
        </w:tc>
        <w:tc>
          <w:tcPr>
            <w:tcW w:w="1185" w:type="dxa"/>
            <w:noWrap/>
            <w:vAlign w:val="center"/>
            <w:hideMark/>
          </w:tcPr>
          <w:p w14:paraId="2039F170" w14:textId="7AD4387D" w:rsidR="00837DA6" w:rsidRPr="00E7566F" w:rsidRDefault="00837DA6" w:rsidP="009D6222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104/124</w:t>
            </w:r>
          </w:p>
        </w:tc>
      </w:tr>
    </w:tbl>
    <w:p w14:paraId="551D0D16" w14:textId="77777777" w:rsidR="00936B7B" w:rsidRDefault="00936B7B" w:rsidP="002705BC">
      <w:pPr>
        <w:tabs>
          <w:tab w:val="left" w:pos="900"/>
        </w:tabs>
      </w:pPr>
    </w:p>
    <w:p w14:paraId="3B4C1AA1" w14:textId="77777777" w:rsidR="00E333F7" w:rsidRPr="002705BC" w:rsidRDefault="00E333F7" w:rsidP="002705BC">
      <w:pPr>
        <w:tabs>
          <w:tab w:val="left" w:pos="900"/>
        </w:tabs>
      </w:pPr>
    </w:p>
    <w:sectPr w:rsidR="00E333F7" w:rsidRPr="002705BC" w:rsidSect="00C02B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6BB5"/>
    <w:multiLevelType w:val="hybridMultilevel"/>
    <w:tmpl w:val="85987A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6"/>
    <w:rsid w:val="0006202A"/>
    <w:rsid w:val="000A3774"/>
    <w:rsid w:val="001227FF"/>
    <w:rsid w:val="0013223F"/>
    <w:rsid w:val="001333E8"/>
    <w:rsid w:val="0017212E"/>
    <w:rsid w:val="001A1A06"/>
    <w:rsid w:val="001B0307"/>
    <w:rsid w:val="001C04E1"/>
    <w:rsid w:val="001F0971"/>
    <w:rsid w:val="001F642B"/>
    <w:rsid w:val="00221D0D"/>
    <w:rsid w:val="002705BC"/>
    <w:rsid w:val="002941CD"/>
    <w:rsid w:val="002C088F"/>
    <w:rsid w:val="002D2EC3"/>
    <w:rsid w:val="002E0D35"/>
    <w:rsid w:val="003069BC"/>
    <w:rsid w:val="00315D6D"/>
    <w:rsid w:val="003C24C4"/>
    <w:rsid w:val="0040077A"/>
    <w:rsid w:val="00424E4D"/>
    <w:rsid w:val="00436F6E"/>
    <w:rsid w:val="0046494D"/>
    <w:rsid w:val="004C0D68"/>
    <w:rsid w:val="004D7AF5"/>
    <w:rsid w:val="0051359E"/>
    <w:rsid w:val="005A38FF"/>
    <w:rsid w:val="005F6BB2"/>
    <w:rsid w:val="00632961"/>
    <w:rsid w:val="00682B81"/>
    <w:rsid w:val="00682C95"/>
    <w:rsid w:val="006B204A"/>
    <w:rsid w:val="006B34CD"/>
    <w:rsid w:val="006C6562"/>
    <w:rsid w:val="006E0753"/>
    <w:rsid w:val="007761D7"/>
    <w:rsid w:val="00781C23"/>
    <w:rsid w:val="0083137A"/>
    <w:rsid w:val="0083212C"/>
    <w:rsid w:val="00837DA6"/>
    <w:rsid w:val="00875EC9"/>
    <w:rsid w:val="008B441D"/>
    <w:rsid w:val="0093175E"/>
    <w:rsid w:val="00936B7B"/>
    <w:rsid w:val="00977C42"/>
    <w:rsid w:val="009A01C2"/>
    <w:rsid w:val="009D034C"/>
    <w:rsid w:val="009F146A"/>
    <w:rsid w:val="00A16CE0"/>
    <w:rsid w:val="00A44938"/>
    <w:rsid w:val="00A63DD6"/>
    <w:rsid w:val="00B13253"/>
    <w:rsid w:val="00B94B36"/>
    <w:rsid w:val="00BC70F3"/>
    <w:rsid w:val="00BD0A40"/>
    <w:rsid w:val="00C02B45"/>
    <w:rsid w:val="00C466A0"/>
    <w:rsid w:val="00C52187"/>
    <w:rsid w:val="00CB4683"/>
    <w:rsid w:val="00CD5C59"/>
    <w:rsid w:val="00D03E74"/>
    <w:rsid w:val="00D37644"/>
    <w:rsid w:val="00D42BDD"/>
    <w:rsid w:val="00D46F99"/>
    <w:rsid w:val="00D63186"/>
    <w:rsid w:val="00D87022"/>
    <w:rsid w:val="00DB2976"/>
    <w:rsid w:val="00DC29D5"/>
    <w:rsid w:val="00DD2ED3"/>
    <w:rsid w:val="00DD4B49"/>
    <w:rsid w:val="00E10697"/>
    <w:rsid w:val="00E333F7"/>
    <w:rsid w:val="00E50D66"/>
    <w:rsid w:val="00E7566F"/>
    <w:rsid w:val="00EB5D2D"/>
    <w:rsid w:val="00F34B75"/>
    <w:rsid w:val="00FA0027"/>
    <w:rsid w:val="00FB6B12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63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E51A0"/>
    <w:pPr>
      <w:shd w:val="clear" w:color="auto" w:fill="FFFFFF"/>
    </w:pPr>
    <w:rPr>
      <w:rFonts w:ascii="Arial" w:hAnsi="Arial" w:cs="Arial"/>
      <w:color w:val="222222"/>
      <w:sz w:val="20"/>
      <w:szCs w:val="20"/>
      <w:lang w:eastAsia="en-GB"/>
    </w:rPr>
  </w:style>
  <w:style w:type="character" w:customStyle="1" w:styleId="s1">
    <w:name w:val="s1"/>
    <w:basedOn w:val="DefaultParagraphFont"/>
    <w:rsid w:val="00FE51A0"/>
  </w:style>
  <w:style w:type="paragraph" w:styleId="BalloonText">
    <w:name w:val="Balloon Text"/>
    <w:basedOn w:val="Normal"/>
    <w:link w:val="BalloonTextChar"/>
    <w:uiPriority w:val="99"/>
    <w:semiHidden/>
    <w:unhideWhenUsed/>
    <w:rsid w:val="00EB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E51A0"/>
    <w:pPr>
      <w:shd w:val="clear" w:color="auto" w:fill="FFFFFF"/>
    </w:pPr>
    <w:rPr>
      <w:rFonts w:ascii="Arial" w:hAnsi="Arial" w:cs="Arial"/>
      <w:color w:val="222222"/>
      <w:sz w:val="20"/>
      <w:szCs w:val="20"/>
      <w:lang w:eastAsia="en-GB"/>
    </w:rPr>
  </w:style>
  <w:style w:type="character" w:customStyle="1" w:styleId="s1">
    <w:name w:val="s1"/>
    <w:basedOn w:val="DefaultParagraphFont"/>
    <w:rsid w:val="00FE51A0"/>
  </w:style>
  <w:style w:type="paragraph" w:styleId="BalloonText">
    <w:name w:val="Balloon Text"/>
    <w:basedOn w:val="Normal"/>
    <w:link w:val="BalloonTextChar"/>
    <w:uiPriority w:val="99"/>
    <w:semiHidden/>
    <w:unhideWhenUsed/>
    <w:rsid w:val="00EB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Fearon, Pasco</dc:creator>
  <cp:keywords/>
  <dc:description/>
  <cp:lastModifiedBy>Barak</cp:lastModifiedBy>
  <cp:revision>3</cp:revision>
  <dcterms:created xsi:type="dcterms:W3CDTF">2017-01-13T14:01:00Z</dcterms:created>
  <dcterms:modified xsi:type="dcterms:W3CDTF">2017-01-13T14:03:00Z</dcterms:modified>
</cp:coreProperties>
</file>