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5B" w:rsidRDefault="000A385B" w:rsidP="000A385B">
      <w:pPr>
        <w:pStyle w:val="Heading2"/>
      </w:pPr>
      <w:r>
        <w:t>Systematic review of the impact of publication status on the reporting of adverse effects</w:t>
      </w:r>
    </w:p>
    <w:p w:rsidR="000A385B" w:rsidRDefault="000A385B" w:rsidP="000A385B">
      <w:pPr>
        <w:pStyle w:val="Heading3"/>
      </w:pPr>
      <w:r>
        <w:t>Objective</w:t>
      </w:r>
    </w:p>
    <w:p w:rsidR="000A385B" w:rsidRDefault="000A385B" w:rsidP="000A385B">
      <w:r>
        <w:t>To systematically review the literature that has analyzed published versus unpublished information on adverse effects.</w:t>
      </w:r>
    </w:p>
    <w:p w:rsidR="000A385B" w:rsidRDefault="000A385B" w:rsidP="000A385B"/>
    <w:p w:rsidR="000A385B" w:rsidRDefault="000A385B" w:rsidP="000A385B">
      <w:pPr>
        <w:pStyle w:val="Heading2"/>
      </w:pPr>
      <w:r>
        <w:t>Background</w:t>
      </w:r>
    </w:p>
    <w:p w:rsidR="000A385B" w:rsidRDefault="000A385B" w:rsidP="000A385B">
      <w:pPr>
        <w:rPr>
          <w:rFonts w:ascii="Arial" w:hAnsi="Arial" w:cs="Arial"/>
          <w:sz w:val="20"/>
          <w:szCs w:val="20"/>
        </w:rPr>
      </w:pPr>
      <w:r>
        <w:t>Adverse effects are defined as</w:t>
      </w:r>
      <w:r>
        <w:rPr>
          <w:lang w:val="en-GB"/>
        </w:rPr>
        <w:t xml:space="preserve"> harmful or undesirable outcomes that occur during or after the use of a drug or intervention for which there is at least a reasonable possibility of a causal relation [1]. </w:t>
      </w:r>
      <w:r>
        <w:t>Findings from the literature indicate that information on adverse drug effects can be retrieved from unpublished data and industry data that is not available in the published literature. In 2010, Golder and colleagues found that risk estimates of adverse drug effects derived from meta-analyses of unpublished data and meta-analyses of published data do not differ [2]. In addition, risk estimates derived from meta-analyses of industry data and meta-analyses of non-industry data also do not differ [3]. The searches for these studies, however, were carried out in 2009 and no studies were identified which compared published and unpublished data for non-pharmacological interventions.</w:t>
      </w:r>
    </w:p>
    <w:p w:rsidR="000A385B" w:rsidRDefault="000A385B" w:rsidP="000A385B">
      <w:r>
        <w:t xml:space="preserve"> </w:t>
      </w:r>
    </w:p>
    <w:p w:rsidR="000A385B" w:rsidRDefault="000A385B" w:rsidP="000A385B">
      <w:r>
        <w:t xml:space="preserve">The importance of publication bias for adverse effects of non-drug interventions and the potential for bias from medical device manufacturer studies is unknown. Unpublished adverse effects data of non-drug interventions may differ from unpublished adverse effects data of drugs and manufacturers of medical devices have different publication patterns for AE data compared to the pharmaceutical industry. Any differences  may be due to the regulatory requirements for research evidence on the safety of new devices being universally less stringent than those for medicines, or to more clinicians conducting research into non-drug interventions (such as surgeons investigating the safety of a surgical procedure). The subject of unpublished data has received much attention in recent years due to campaigns such as </w:t>
      </w:r>
      <w:proofErr w:type="spellStart"/>
      <w:r>
        <w:t>Alltrialdata</w:t>
      </w:r>
      <w:proofErr w:type="spellEnd"/>
      <w:r>
        <w:t xml:space="preserve">, the release of the results in trial registries, and access to clinical study reports. </w:t>
      </w:r>
    </w:p>
    <w:p w:rsidR="000A385B" w:rsidRDefault="000A385B" w:rsidP="000A385B"/>
    <w:p w:rsidR="000A385B" w:rsidRDefault="000A385B" w:rsidP="000A385B">
      <w:r>
        <w:t>This systematic review will update the review by Golder et al 2010 [2] to identify more recent comparisons of unpublished and published pharmaceutical data and to identify any comparisons of unpublished and published non-pharmaceutical data.</w:t>
      </w:r>
    </w:p>
    <w:p w:rsidR="000A385B" w:rsidRDefault="000A385B" w:rsidP="000A385B">
      <w:pPr>
        <w:pStyle w:val="Heading2"/>
      </w:pPr>
      <w:r>
        <w:t>Methods</w:t>
      </w:r>
    </w:p>
    <w:p w:rsidR="000A385B" w:rsidRDefault="000A385B" w:rsidP="000A385B">
      <w:pPr>
        <w:pStyle w:val="Heading4"/>
      </w:pPr>
      <w:r>
        <w:t>Inclusion criteria</w:t>
      </w:r>
    </w:p>
    <w:p w:rsidR="000A385B" w:rsidRDefault="000A385B" w:rsidP="000A385B">
      <w:r>
        <w:t xml:space="preserve">Any type of evaluation will be considered eligible for inclusion in this review if it has compared adverse effects of healthcare interventions according to publication status (i.e. published versus unpublished literature). All healthcare interventions are eligible (such as drug interventions, surgical procedures, medical devices, </w:t>
      </w:r>
      <w:proofErr w:type="gramStart"/>
      <w:r>
        <w:t>dentistry</w:t>
      </w:r>
      <w:proofErr w:type="gramEnd"/>
      <w:r>
        <w:t>, screening and diagnostic tests). Eligible articles will be those that reviewed one or more published and unpublished studies and compared the quantitative reporting of adverse effects, in particular, the type and range of adverse effects and the frequency, rate or risk of adverse effects. ‘Published’ articles are generally considered to be manuscripts that are found in peer-reviewed journals. Whereas ‘unpublished’ data can be located through any other avenue (for example, from regulatory websites, industry, personal contact or from conference proceedings).</w:t>
      </w:r>
    </w:p>
    <w:p w:rsidR="000A385B" w:rsidRDefault="000A385B" w:rsidP="000A385B"/>
    <w:p w:rsidR="000A385B" w:rsidRDefault="000A385B" w:rsidP="000A385B"/>
    <w:p w:rsidR="000A385B" w:rsidRDefault="000A385B" w:rsidP="000A385B"/>
    <w:p w:rsidR="000A385B" w:rsidRDefault="000A385B" w:rsidP="000A385B">
      <w:pPr>
        <w:pStyle w:val="Heading4"/>
      </w:pPr>
      <w:r>
        <w:t>Exclusion criteria</w:t>
      </w:r>
    </w:p>
    <w:p w:rsidR="000A385B" w:rsidRDefault="000A385B" w:rsidP="000A385B">
      <w:r>
        <w:t>We are primarily concerned with the properties of interventions under normal use. We will therefore not consider the broader range of events such as intentional and accidental poisoning (i.e. overdose), drug abuse, errors, or non-compliance.</w:t>
      </w:r>
    </w:p>
    <w:p w:rsidR="000A385B" w:rsidRDefault="000A385B" w:rsidP="000A385B"/>
    <w:p w:rsidR="000A385B" w:rsidRDefault="000A385B" w:rsidP="000A385B">
      <w:pPr>
        <w:pStyle w:val="Heading4"/>
      </w:pPr>
      <w:r>
        <w:t>Search methods</w:t>
      </w:r>
    </w:p>
    <w:p w:rsidR="000A385B" w:rsidRDefault="000A385B" w:rsidP="000A385B">
      <w:r>
        <w:t>The sources to be searched are listed below;</w:t>
      </w:r>
    </w:p>
    <w:p w:rsidR="000A385B" w:rsidRDefault="000A385B" w:rsidP="000A385B"/>
    <w:p w:rsidR="000A385B" w:rsidRDefault="000A385B" w:rsidP="000A385B">
      <w:pPr>
        <w:pStyle w:val="Heading6"/>
      </w:pPr>
      <w:r>
        <w:t>Databases</w:t>
      </w:r>
    </w:p>
    <w:p w:rsidR="000A385B" w:rsidRDefault="000A385B" w:rsidP="000A385B">
      <w:pPr>
        <w:ind w:left="720"/>
      </w:pPr>
      <w:r>
        <w:t>CINAHL</w:t>
      </w:r>
      <w:r w:rsidR="001A49C1">
        <w:t xml:space="preserve"> Plus</w:t>
      </w:r>
    </w:p>
    <w:p w:rsidR="000A385B" w:rsidRDefault="000A385B" w:rsidP="000A385B">
      <w:pPr>
        <w:ind w:left="720"/>
      </w:pPr>
      <w:r>
        <w:t>Cochrane Database of Systematic Reviews (CDSR) – methodology reviews only</w:t>
      </w:r>
    </w:p>
    <w:p w:rsidR="000A385B" w:rsidRDefault="000A385B" w:rsidP="000A385B">
      <w:pPr>
        <w:ind w:left="720"/>
      </w:pPr>
      <w:r>
        <w:t>Cochrane Methodology Register</w:t>
      </w:r>
      <w:r w:rsidR="001A49C1">
        <w:t xml:space="preserve"> (CMR)</w:t>
      </w:r>
    </w:p>
    <w:p w:rsidR="000A385B" w:rsidRDefault="000A385B" w:rsidP="000A385B">
      <w:pPr>
        <w:ind w:left="720"/>
      </w:pPr>
      <w:r>
        <w:t>Conference Proceedings Citation Index</w:t>
      </w:r>
      <w:r w:rsidR="001A49C1">
        <w:t xml:space="preserve"> (CPCI)</w:t>
      </w:r>
    </w:p>
    <w:p w:rsidR="000A385B" w:rsidRDefault="000A385B" w:rsidP="000A385B">
      <w:pPr>
        <w:ind w:left="720"/>
      </w:pPr>
      <w:proofErr w:type="spellStart"/>
      <w:r>
        <w:t>Embase</w:t>
      </w:r>
      <w:proofErr w:type="spellEnd"/>
    </w:p>
    <w:p w:rsidR="001A49C1" w:rsidRPr="001A49C1" w:rsidRDefault="001A49C1" w:rsidP="001A49C1">
      <w:pPr>
        <w:ind w:left="720"/>
      </w:pPr>
      <w:r w:rsidRPr="001A49C1">
        <w:t>Health Management Information Consortium (HMIC)</w:t>
      </w:r>
    </w:p>
    <w:p w:rsidR="000A385B" w:rsidRDefault="000A385B" w:rsidP="000A385B">
      <w:pPr>
        <w:ind w:left="720"/>
      </w:pPr>
      <w:r>
        <w:t>MEDLINE</w:t>
      </w:r>
    </w:p>
    <w:p w:rsidR="001A49C1" w:rsidRDefault="001A49C1" w:rsidP="000A385B">
      <w:pPr>
        <w:ind w:left="720"/>
      </w:pPr>
      <w:r>
        <w:t xml:space="preserve">MEDLINE </w:t>
      </w:r>
      <w:proofErr w:type="gramStart"/>
      <w:r>
        <w:t>In</w:t>
      </w:r>
      <w:proofErr w:type="gramEnd"/>
      <w:r>
        <w:t xml:space="preserve"> Process</w:t>
      </w:r>
    </w:p>
    <w:p w:rsidR="001A49C1" w:rsidRDefault="000A385B" w:rsidP="001A49C1">
      <w:pPr>
        <w:ind w:left="720"/>
      </w:pPr>
      <w:proofErr w:type="spellStart"/>
      <w:r>
        <w:t>OpenGrey</w:t>
      </w:r>
      <w:proofErr w:type="spellEnd"/>
    </w:p>
    <w:p w:rsidR="001A49C1" w:rsidRPr="001A49C1" w:rsidRDefault="001A49C1" w:rsidP="001A49C1">
      <w:pPr>
        <w:ind w:left="720"/>
      </w:pPr>
      <w:proofErr w:type="spellStart"/>
      <w:r w:rsidRPr="001A49C1">
        <w:t>Proquest</w:t>
      </w:r>
      <w:proofErr w:type="spellEnd"/>
      <w:r w:rsidRPr="001A49C1">
        <w:t xml:space="preserve"> Dissertations &amp; Theses: UK &amp; Ireland</w:t>
      </w:r>
    </w:p>
    <w:p w:rsidR="001A49C1" w:rsidRPr="001A49C1" w:rsidRDefault="001A49C1" w:rsidP="001A49C1">
      <w:pPr>
        <w:ind w:left="720"/>
      </w:pPr>
      <w:proofErr w:type="spellStart"/>
      <w:r w:rsidRPr="001A49C1">
        <w:t>Proquest</w:t>
      </w:r>
      <w:proofErr w:type="spellEnd"/>
      <w:r w:rsidRPr="001A49C1">
        <w:t xml:space="preserve"> Library Science and Library and Information Science &amp; Technology Abstracts (LISTA)</w:t>
      </w:r>
    </w:p>
    <w:p w:rsidR="001A49C1" w:rsidRPr="001A49C1" w:rsidRDefault="001A49C1" w:rsidP="001A49C1">
      <w:pPr>
        <w:ind w:left="720"/>
      </w:pPr>
      <w:proofErr w:type="spellStart"/>
      <w:r w:rsidRPr="001A49C1">
        <w:rPr>
          <w:rFonts w:eastAsia="Times New Roman"/>
        </w:rPr>
        <w:t>PsycINFO</w:t>
      </w:r>
      <w:proofErr w:type="spellEnd"/>
    </w:p>
    <w:p w:rsidR="001A49C1" w:rsidRPr="001A49C1" w:rsidRDefault="001A49C1" w:rsidP="001A49C1">
      <w:pPr>
        <w:ind w:left="720"/>
      </w:pPr>
      <w:r w:rsidRPr="001A49C1">
        <w:t>Science Citation Index (SCI)</w:t>
      </w:r>
    </w:p>
    <w:p w:rsidR="001A49C1" w:rsidRPr="001A49C1" w:rsidRDefault="001A49C1" w:rsidP="001A49C1">
      <w:pPr>
        <w:ind w:left="720"/>
      </w:pPr>
      <w:r w:rsidRPr="001A49C1">
        <w:t>Scopus</w:t>
      </w:r>
    </w:p>
    <w:p w:rsidR="001A49C1" w:rsidRPr="001A49C1" w:rsidRDefault="001A49C1" w:rsidP="001A49C1">
      <w:pPr>
        <w:ind w:left="720"/>
      </w:pPr>
      <w:proofErr w:type="spellStart"/>
      <w:r w:rsidRPr="001A49C1">
        <w:t>Zetoc</w:t>
      </w:r>
      <w:proofErr w:type="spellEnd"/>
    </w:p>
    <w:p w:rsidR="000A385B" w:rsidRDefault="000A385B" w:rsidP="000A385B"/>
    <w:p w:rsidR="000A385B" w:rsidRDefault="000A385B" w:rsidP="000A385B">
      <w:pPr>
        <w:pStyle w:val="Heading6"/>
      </w:pPr>
      <w:r>
        <w:t>Internet Search Engines</w:t>
      </w:r>
    </w:p>
    <w:p w:rsidR="000A385B" w:rsidRDefault="000A385B" w:rsidP="000A385B">
      <w:pPr>
        <w:ind w:left="720"/>
      </w:pPr>
      <w:r>
        <w:t>Google</w:t>
      </w:r>
    </w:p>
    <w:p w:rsidR="000A385B" w:rsidRDefault="000A385B" w:rsidP="000A385B">
      <w:pPr>
        <w:ind w:left="720"/>
      </w:pPr>
      <w:r>
        <w:t>Google Scholar</w:t>
      </w:r>
    </w:p>
    <w:p w:rsidR="000A385B" w:rsidRDefault="000A385B" w:rsidP="000A385B"/>
    <w:p w:rsidR="000A385B" w:rsidRDefault="000A385B" w:rsidP="000A385B">
      <w:pPr>
        <w:pStyle w:val="Heading6"/>
      </w:pPr>
      <w:proofErr w:type="spellStart"/>
      <w:r>
        <w:t>Handsearching</w:t>
      </w:r>
      <w:proofErr w:type="spellEnd"/>
      <w:r>
        <w:t xml:space="preserve"> of Journals</w:t>
      </w:r>
    </w:p>
    <w:p w:rsidR="000A385B" w:rsidRDefault="000A385B" w:rsidP="000A385B">
      <w:pPr>
        <w:ind w:left="720"/>
      </w:pPr>
      <w:r>
        <w:t>Drug Safety</w:t>
      </w:r>
    </w:p>
    <w:p w:rsidR="000A385B" w:rsidRDefault="000A385B" w:rsidP="000A385B">
      <w:pPr>
        <w:ind w:left="720"/>
      </w:pPr>
      <w:proofErr w:type="spellStart"/>
      <w:r>
        <w:t>Pharmacoepidemiology</w:t>
      </w:r>
      <w:proofErr w:type="spellEnd"/>
      <w:r>
        <w:t xml:space="preserve"> and Drug Safety</w:t>
      </w:r>
    </w:p>
    <w:p w:rsidR="000A385B" w:rsidRDefault="000A385B" w:rsidP="000A385B"/>
    <w:p w:rsidR="000A385B" w:rsidRDefault="000A385B" w:rsidP="000A385B">
      <w:pPr>
        <w:pStyle w:val="Heading6"/>
      </w:pPr>
      <w:proofErr w:type="spellStart"/>
      <w:r>
        <w:t>Hansearching</w:t>
      </w:r>
      <w:proofErr w:type="spellEnd"/>
      <w:r>
        <w:t xml:space="preserve"> of Bibliographies</w:t>
      </w:r>
    </w:p>
    <w:p w:rsidR="000A385B" w:rsidRDefault="000A385B" w:rsidP="000A385B">
      <w:pPr>
        <w:ind w:left="720"/>
      </w:pPr>
      <w:r>
        <w:t xml:space="preserve">Arber M, </w:t>
      </w:r>
      <w:proofErr w:type="spellStart"/>
      <w:r>
        <w:t>Cikalo</w:t>
      </w:r>
      <w:proofErr w:type="spellEnd"/>
      <w:r>
        <w:t xml:space="preserve"> M, Glanville J, Lefebvre C, Varley D, Wood H. Annotated bibliography of published studies addressing searching for unpublished studies and obtaining access to unpublished data. York: York Health Economics Consortium; 2013.</w:t>
      </w:r>
    </w:p>
    <w:p w:rsidR="000A385B" w:rsidRDefault="000A385B" w:rsidP="000A385B">
      <w:pPr>
        <w:pStyle w:val="Heading6"/>
      </w:pPr>
      <w:proofErr w:type="spellStart"/>
      <w:r>
        <w:t>Handsearching</w:t>
      </w:r>
      <w:proofErr w:type="spellEnd"/>
      <w:r>
        <w:t xml:space="preserve"> of Conference Proceedings </w:t>
      </w:r>
    </w:p>
    <w:p w:rsidR="000A385B" w:rsidRDefault="000A385B" w:rsidP="000A385B">
      <w:r>
        <w:tab/>
        <w:t>Cochrane Colloquium</w:t>
      </w:r>
    </w:p>
    <w:p w:rsidR="000A385B" w:rsidRDefault="000A385B" w:rsidP="000A385B"/>
    <w:p w:rsidR="000A385B" w:rsidRDefault="000A385B" w:rsidP="000A385B">
      <w:r>
        <w:t xml:space="preserve">Other methods for identifying relevant articles will include, reference checking of all </w:t>
      </w:r>
      <w:r>
        <w:lastRenderedPageBreak/>
        <w:t xml:space="preserve">included articles and </w:t>
      </w:r>
      <w:r w:rsidR="001A49C1">
        <w:t xml:space="preserve">any related systematic reviews </w:t>
      </w:r>
      <w:r>
        <w:t>and contacting authors and experts in the field.</w:t>
      </w:r>
    </w:p>
    <w:p w:rsidR="000A385B" w:rsidRDefault="000A385B" w:rsidP="000A385B"/>
    <w:p w:rsidR="000A385B" w:rsidRDefault="000A385B" w:rsidP="000A385B">
      <w:pPr>
        <w:pStyle w:val="Heading4"/>
      </w:pPr>
      <w:r>
        <w:t>Search Strategies</w:t>
      </w:r>
    </w:p>
    <w:p w:rsidR="000A385B" w:rsidRDefault="000A385B" w:rsidP="000A385B">
      <w:pPr>
        <w:pStyle w:val="ListParagraph"/>
        <w:tabs>
          <w:tab w:val="left" w:pos="3240"/>
        </w:tabs>
        <w:ind w:left="0"/>
      </w:pPr>
      <w:r>
        <w:t>The search strategies will contain just two facets – publication status and adverse effects. No population or comparator or study design terms will be incorporated into the search strategy as there are no restrictions on these elements in the inclusion criteria. A date restriction of 2009 onwards will be placed on the searches as this is the date of the last searches carried out. No language restrictions will be placed on the searches, although financial and logistical restraints may not enable the translation from all languages. The MEDLINE search strategy is contained below and will be translated to as appropriate for the search interfaces used with each individual database.</w:t>
      </w:r>
    </w:p>
    <w:p w:rsidR="000A385B" w:rsidRDefault="000A385B" w:rsidP="000A385B"/>
    <w:p w:rsidR="000A385B" w:rsidRDefault="000A385B" w:rsidP="000A385B">
      <w:pPr>
        <w:pStyle w:val="ListParagraph"/>
        <w:tabs>
          <w:tab w:val="left" w:pos="3240"/>
        </w:tabs>
        <w:ind w:left="0"/>
      </w:pPr>
      <w:r>
        <w:t>MEDLINE Search strategy</w:t>
      </w:r>
      <w:r>
        <w:tab/>
      </w:r>
    </w:p>
    <w:p w:rsidR="000A385B" w:rsidRDefault="000A385B" w:rsidP="000A385B">
      <w:r>
        <w:rPr>
          <w:rFonts w:ascii="Arial" w:hAnsi="Arial" w:cs="Arial"/>
          <w:color w:val="222222"/>
          <w:sz w:val="19"/>
          <w:szCs w:val="19"/>
          <w:shd w:val="clear" w:color="auto" w:fill="FFFFFF"/>
        </w:rPr>
        <w:t>Database: Ovid MEDLINE(R) In-Process &amp; Other Non-Indexed Citations and Ovid MEDLINE(R) &lt;1946 to Present&gt;</w:t>
      </w:r>
      <w:r>
        <w:rPr>
          <w:rFonts w:ascii="Arial" w:hAnsi="Arial" w:cs="Arial"/>
          <w:color w:val="222222"/>
          <w:sz w:val="19"/>
          <w:szCs w:val="19"/>
        </w:rPr>
        <w:br/>
      </w:r>
      <w:r>
        <w:rPr>
          <w:rFonts w:ascii="Arial" w:hAnsi="Arial" w:cs="Arial"/>
          <w:color w:val="222222"/>
          <w:sz w:val="19"/>
          <w:szCs w:val="19"/>
          <w:shd w:val="clear" w:color="auto" w:fill="FFFFFF"/>
        </w:rPr>
        <w:t>Search Strategy:</w:t>
      </w:r>
      <w:r>
        <w:rPr>
          <w:rFonts w:ascii="Arial" w:hAnsi="Arial" w:cs="Arial"/>
          <w:color w:val="222222"/>
          <w:sz w:val="19"/>
          <w:szCs w:val="19"/>
        </w:rPr>
        <w:br/>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1     </w:t>
      </w:r>
      <w:proofErr w:type="spellStart"/>
      <w:r>
        <w:rPr>
          <w:rFonts w:ascii="Arial" w:hAnsi="Arial" w:cs="Arial"/>
          <w:color w:val="222222"/>
          <w:sz w:val="19"/>
          <w:szCs w:val="19"/>
          <w:shd w:val="clear" w:color="auto" w:fill="FFFFFF"/>
        </w:rPr>
        <w:t>unpublished.ti</w:t>
      </w:r>
      <w:proofErr w:type="spellEnd"/>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(629)</w:t>
      </w:r>
      <w:r>
        <w:rPr>
          <w:rFonts w:ascii="Arial" w:hAnsi="Arial" w:cs="Arial"/>
          <w:color w:val="222222"/>
          <w:sz w:val="19"/>
          <w:szCs w:val="19"/>
        </w:rPr>
        <w:br/>
      </w:r>
      <w:r>
        <w:rPr>
          <w:rFonts w:ascii="Arial" w:hAnsi="Arial" w:cs="Arial"/>
          <w:color w:val="222222"/>
          <w:sz w:val="19"/>
          <w:szCs w:val="19"/>
          <w:shd w:val="clear" w:color="auto" w:fill="FFFFFF"/>
        </w:rPr>
        <w:t>2     "not published".</w:t>
      </w:r>
      <w:proofErr w:type="spellStart"/>
      <w:r>
        <w:rPr>
          <w:rFonts w:ascii="Arial" w:hAnsi="Arial" w:cs="Arial"/>
          <w:color w:val="222222"/>
          <w:sz w:val="19"/>
          <w:szCs w:val="19"/>
          <w:shd w:val="clear" w:color="auto" w:fill="FFFFFF"/>
        </w:rPr>
        <w:t>ti</w:t>
      </w:r>
      <w:proofErr w:type="spellEnd"/>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 xml:space="preserve"> (8)</w:t>
      </w:r>
      <w:r>
        <w:rPr>
          <w:rFonts w:ascii="Arial" w:hAnsi="Arial" w:cs="Arial"/>
          <w:color w:val="222222"/>
          <w:sz w:val="19"/>
          <w:szCs w:val="19"/>
        </w:rPr>
        <w:br/>
      </w:r>
      <w:r>
        <w:rPr>
          <w:rFonts w:ascii="Arial" w:hAnsi="Arial" w:cs="Arial"/>
          <w:color w:val="222222"/>
          <w:sz w:val="19"/>
          <w:szCs w:val="19"/>
          <w:shd w:val="clear" w:color="auto" w:fill="FFFFFF"/>
        </w:rPr>
        <w:t xml:space="preserve">3     grey </w:t>
      </w:r>
      <w:proofErr w:type="spellStart"/>
      <w:r>
        <w:rPr>
          <w:rFonts w:ascii="Arial" w:hAnsi="Arial" w:cs="Arial"/>
          <w:color w:val="222222"/>
          <w:sz w:val="19"/>
          <w:szCs w:val="19"/>
          <w:shd w:val="clear" w:color="auto" w:fill="FFFFFF"/>
        </w:rPr>
        <w:t>literature.ti</w:t>
      </w:r>
      <w:proofErr w:type="spellEnd"/>
      <w:r>
        <w:rPr>
          <w:rFonts w:ascii="Arial" w:hAnsi="Arial" w:cs="Arial"/>
          <w:color w:val="222222"/>
          <w:sz w:val="19"/>
          <w:szCs w:val="19"/>
          <w:shd w:val="clear" w:color="auto" w:fill="FFFFFF"/>
        </w:rPr>
        <w:t>. (27)</w:t>
      </w:r>
      <w:r>
        <w:rPr>
          <w:rFonts w:ascii="Arial" w:hAnsi="Arial" w:cs="Arial"/>
          <w:color w:val="222222"/>
          <w:sz w:val="19"/>
          <w:szCs w:val="19"/>
        </w:rPr>
        <w:br/>
      </w:r>
      <w:r>
        <w:rPr>
          <w:rFonts w:ascii="Arial" w:hAnsi="Arial" w:cs="Arial"/>
          <w:color w:val="222222"/>
          <w:sz w:val="19"/>
          <w:szCs w:val="19"/>
          <w:shd w:val="clear" w:color="auto" w:fill="FFFFFF"/>
        </w:rPr>
        <w:t xml:space="preserve">4     gray </w:t>
      </w:r>
      <w:proofErr w:type="spellStart"/>
      <w:r>
        <w:rPr>
          <w:rFonts w:ascii="Arial" w:hAnsi="Arial" w:cs="Arial"/>
          <w:color w:val="222222"/>
          <w:sz w:val="19"/>
          <w:szCs w:val="19"/>
          <w:shd w:val="clear" w:color="auto" w:fill="FFFFFF"/>
        </w:rPr>
        <w:t>literature.ti</w:t>
      </w:r>
      <w:proofErr w:type="spellEnd"/>
      <w:r>
        <w:rPr>
          <w:rFonts w:ascii="Arial" w:hAnsi="Arial" w:cs="Arial"/>
          <w:color w:val="222222"/>
          <w:sz w:val="19"/>
          <w:szCs w:val="19"/>
          <w:shd w:val="clear" w:color="auto" w:fill="FFFFFF"/>
        </w:rPr>
        <w:t>. (6)</w:t>
      </w:r>
      <w:r>
        <w:rPr>
          <w:rFonts w:ascii="Arial" w:hAnsi="Arial" w:cs="Arial"/>
          <w:color w:val="222222"/>
          <w:sz w:val="19"/>
          <w:szCs w:val="19"/>
        </w:rPr>
        <w:br/>
      </w:r>
      <w:r>
        <w:rPr>
          <w:rFonts w:ascii="Arial" w:hAnsi="Arial" w:cs="Arial"/>
          <w:color w:val="222222"/>
          <w:sz w:val="19"/>
          <w:szCs w:val="19"/>
          <w:shd w:val="clear" w:color="auto" w:fill="FFFFFF"/>
        </w:rPr>
        <w:t>5     clinical study report*.</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(135)</w:t>
      </w:r>
      <w:r>
        <w:rPr>
          <w:rFonts w:ascii="Arial" w:hAnsi="Arial" w:cs="Arial"/>
          <w:color w:val="222222"/>
          <w:sz w:val="19"/>
          <w:szCs w:val="19"/>
        </w:rPr>
        <w:br/>
      </w:r>
      <w:r>
        <w:rPr>
          <w:rFonts w:ascii="Arial" w:hAnsi="Arial" w:cs="Arial"/>
          <w:color w:val="222222"/>
          <w:sz w:val="19"/>
          <w:szCs w:val="19"/>
          <w:shd w:val="clear" w:color="auto" w:fill="FFFFFF"/>
        </w:rPr>
        <w:t>6     regulatory website*.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(8)</w:t>
      </w:r>
      <w:r>
        <w:rPr>
          <w:rFonts w:ascii="Arial" w:hAnsi="Arial" w:cs="Arial"/>
          <w:color w:val="222222"/>
          <w:sz w:val="19"/>
          <w:szCs w:val="19"/>
        </w:rPr>
        <w:br/>
      </w:r>
      <w:r>
        <w:rPr>
          <w:rFonts w:ascii="Arial" w:hAnsi="Arial" w:cs="Arial"/>
          <w:color w:val="222222"/>
          <w:sz w:val="19"/>
          <w:szCs w:val="19"/>
          <w:shd w:val="clear" w:color="auto" w:fill="FFFFFF"/>
        </w:rPr>
        <w:t>7     regulatory web site*.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(2)</w:t>
      </w:r>
      <w:r>
        <w:rPr>
          <w:rFonts w:ascii="Arial" w:hAnsi="Arial" w:cs="Arial"/>
          <w:color w:val="222222"/>
          <w:sz w:val="19"/>
          <w:szCs w:val="19"/>
        </w:rPr>
        <w:br/>
      </w:r>
      <w:r>
        <w:rPr>
          <w:rFonts w:ascii="Arial" w:hAnsi="Arial" w:cs="Arial"/>
          <w:color w:val="222222"/>
          <w:sz w:val="19"/>
          <w:szCs w:val="19"/>
          <w:shd w:val="clear" w:color="auto" w:fill="FFFFFF"/>
        </w:rPr>
        <w:t>8     regulatory report*.</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(39)</w:t>
      </w:r>
      <w:r>
        <w:rPr>
          <w:rFonts w:ascii="Arial" w:hAnsi="Arial" w:cs="Arial"/>
          <w:color w:val="222222"/>
          <w:sz w:val="19"/>
          <w:szCs w:val="19"/>
        </w:rPr>
        <w:br/>
      </w:r>
      <w:r>
        <w:rPr>
          <w:rFonts w:ascii="Arial" w:hAnsi="Arial" w:cs="Arial"/>
          <w:color w:val="222222"/>
          <w:sz w:val="19"/>
          <w:szCs w:val="19"/>
          <w:shd w:val="clear" w:color="auto" w:fill="FFFFFF"/>
        </w:rPr>
        <w:t xml:space="preserve">9     regulatory </w:t>
      </w:r>
      <w:proofErr w:type="spellStart"/>
      <w:r>
        <w:rPr>
          <w:rFonts w:ascii="Arial" w:hAnsi="Arial" w:cs="Arial"/>
          <w:color w:val="222222"/>
          <w:sz w:val="19"/>
          <w:szCs w:val="19"/>
          <w:shd w:val="clear" w:color="auto" w:fill="FFFFFF"/>
        </w:rPr>
        <w:t>data.ti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(89)</w:t>
      </w:r>
      <w:r>
        <w:rPr>
          <w:rFonts w:ascii="Arial" w:hAnsi="Arial" w:cs="Arial"/>
          <w:color w:val="222222"/>
          <w:sz w:val="19"/>
          <w:szCs w:val="19"/>
        </w:rPr>
        <w:br/>
      </w:r>
      <w:r>
        <w:rPr>
          <w:rFonts w:ascii="Arial" w:hAnsi="Arial" w:cs="Arial"/>
          <w:color w:val="222222"/>
          <w:sz w:val="19"/>
          <w:szCs w:val="19"/>
          <w:shd w:val="clear" w:color="auto" w:fill="FFFFFF"/>
        </w:rPr>
        <w:t>10     regulatory document*.</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(138)</w:t>
      </w:r>
      <w:r>
        <w:rPr>
          <w:rFonts w:ascii="Arial" w:hAnsi="Arial" w:cs="Arial"/>
          <w:color w:val="222222"/>
          <w:sz w:val="19"/>
          <w:szCs w:val="19"/>
        </w:rPr>
        <w:br/>
      </w:r>
      <w:r>
        <w:rPr>
          <w:rFonts w:ascii="Arial" w:hAnsi="Arial" w:cs="Arial"/>
          <w:color w:val="222222"/>
          <w:sz w:val="19"/>
          <w:szCs w:val="19"/>
          <w:shd w:val="clear" w:color="auto" w:fill="FFFFFF"/>
        </w:rPr>
        <w:t>11     (</w:t>
      </w:r>
      <w:proofErr w:type="spellStart"/>
      <w:r>
        <w:rPr>
          <w:rFonts w:ascii="Arial" w:hAnsi="Arial" w:cs="Arial"/>
          <w:color w:val="222222"/>
          <w:sz w:val="19"/>
          <w:szCs w:val="19"/>
          <w:shd w:val="clear" w:color="auto" w:fill="FFFFFF"/>
        </w:rPr>
        <w:t>fda</w:t>
      </w:r>
      <w:proofErr w:type="spellEnd"/>
      <w:r>
        <w:rPr>
          <w:rFonts w:ascii="Arial" w:hAnsi="Arial" w:cs="Arial"/>
          <w:color w:val="222222"/>
          <w:sz w:val="19"/>
          <w:szCs w:val="19"/>
          <w:shd w:val="clear" w:color="auto" w:fill="FFFFFF"/>
        </w:rPr>
        <w:t xml:space="preserve"> adj3 document*).</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(126)</w:t>
      </w:r>
      <w:r>
        <w:rPr>
          <w:rFonts w:ascii="Arial" w:hAnsi="Arial" w:cs="Arial"/>
          <w:color w:val="222222"/>
          <w:sz w:val="19"/>
          <w:szCs w:val="19"/>
        </w:rPr>
        <w:br/>
      </w:r>
      <w:r>
        <w:rPr>
          <w:rFonts w:ascii="Arial" w:hAnsi="Arial" w:cs="Arial"/>
          <w:color w:val="222222"/>
          <w:sz w:val="19"/>
          <w:szCs w:val="19"/>
          <w:shd w:val="clear" w:color="auto" w:fill="FFFFFF"/>
        </w:rPr>
        <w:t>12     (</w:t>
      </w:r>
      <w:proofErr w:type="spellStart"/>
      <w:r>
        <w:rPr>
          <w:rFonts w:ascii="Arial" w:hAnsi="Arial" w:cs="Arial"/>
          <w:color w:val="222222"/>
          <w:sz w:val="19"/>
          <w:szCs w:val="19"/>
          <w:shd w:val="clear" w:color="auto" w:fill="FFFFFF"/>
        </w:rPr>
        <w:t>fda</w:t>
      </w:r>
      <w:proofErr w:type="spellEnd"/>
      <w:r>
        <w:rPr>
          <w:rFonts w:ascii="Arial" w:hAnsi="Arial" w:cs="Arial"/>
          <w:color w:val="222222"/>
          <w:sz w:val="19"/>
          <w:szCs w:val="19"/>
          <w:shd w:val="clear" w:color="auto" w:fill="FFFFFF"/>
        </w:rPr>
        <w:t xml:space="preserve"> adj3 reports).</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(164)</w:t>
      </w:r>
      <w:r>
        <w:rPr>
          <w:rFonts w:ascii="Arial" w:hAnsi="Arial" w:cs="Arial"/>
          <w:color w:val="222222"/>
          <w:sz w:val="19"/>
          <w:szCs w:val="19"/>
        </w:rPr>
        <w:br/>
      </w:r>
      <w:r>
        <w:rPr>
          <w:rFonts w:ascii="Arial" w:hAnsi="Arial" w:cs="Arial"/>
          <w:color w:val="222222"/>
          <w:sz w:val="19"/>
          <w:szCs w:val="19"/>
          <w:shd w:val="clear" w:color="auto" w:fill="FFFFFF"/>
        </w:rPr>
        <w:t>13     (</w:t>
      </w:r>
      <w:proofErr w:type="spellStart"/>
      <w:r>
        <w:rPr>
          <w:rFonts w:ascii="Arial" w:hAnsi="Arial" w:cs="Arial"/>
          <w:color w:val="222222"/>
          <w:sz w:val="19"/>
          <w:szCs w:val="19"/>
          <w:shd w:val="clear" w:color="auto" w:fill="FFFFFF"/>
        </w:rPr>
        <w:t>fda</w:t>
      </w:r>
      <w:proofErr w:type="spellEnd"/>
      <w:r>
        <w:rPr>
          <w:rFonts w:ascii="Arial" w:hAnsi="Arial" w:cs="Arial"/>
          <w:color w:val="222222"/>
          <w:sz w:val="19"/>
          <w:szCs w:val="19"/>
          <w:shd w:val="clear" w:color="auto" w:fill="FFFFFF"/>
        </w:rPr>
        <w:t xml:space="preserve"> adj3 data).</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(334)</w:t>
      </w:r>
      <w:r>
        <w:rPr>
          <w:rFonts w:ascii="Arial" w:hAnsi="Arial" w:cs="Arial"/>
          <w:color w:val="222222"/>
          <w:sz w:val="19"/>
          <w:szCs w:val="19"/>
        </w:rPr>
        <w:br/>
      </w:r>
      <w:r>
        <w:rPr>
          <w:rFonts w:ascii="Arial" w:hAnsi="Arial" w:cs="Arial"/>
          <w:color w:val="222222"/>
          <w:sz w:val="19"/>
          <w:szCs w:val="19"/>
          <w:shd w:val="clear" w:color="auto" w:fill="FFFFFF"/>
        </w:rPr>
        <w:t>14     (</w:t>
      </w:r>
      <w:proofErr w:type="spellStart"/>
      <w:r>
        <w:rPr>
          <w:rFonts w:ascii="Arial" w:hAnsi="Arial" w:cs="Arial"/>
          <w:color w:val="222222"/>
          <w:sz w:val="19"/>
          <w:szCs w:val="19"/>
          <w:shd w:val="clear" w:color="auto" w:fill="FFFFFF"/>
        </w:rPr>
        <w:t>fda</w:t>
      </w:r>
      <w:proofErr w:type="spellEnd"/>
      <w:r>
        <w:rPr>
          <w:rFonts w:ascii="Arial" w:hAnsi="Arial" w:cs="Arial"/>
          <w:color w:val="222222"/>
          <w:sz w:val="19"/>
          <w:szCs w:val="19"/>
          <w:shd w:val="clear" w:color="auto" w:fill="FFFFFF"/>
        </w:rPr>
        <w:t xml:space="preserve"> adj3 website).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(66)</w:t>
      </w:r>
      <w:r>
        <w:rPr>
          <w:rFonts w:ascii="Arial" w:hAnsi="Arial" w:cs="Arial"/>
          <w:color w:val="222222"/>
          <w:sz w:val="19"/>
          <w:szCs w:val="19"/>
        </w:rPr>
        <w:br/>
      </w:r>
      <w:r>
        <w:rPr>
          <w:rFonts w:ascii="Arial" w:hAnsi="Arial" w:cs="Arial"/>
          <w:color w:val="222222"/>
          <w:sz w:val="19"/>
          <w:szCs w:val="19"/>
          <w:shd w:val="clear" w:color="auto" w:fill="FFFFFF"/>
        </w:rPr>
        <w:t>15     (</w:t>
      </w:r>
      <w:proofErr w:type="spellStart"/>
      <w:r>
        <w:rPr>
          <w:rFonts w:ascii="Arial" w:hAnsi="Arial" w:cs="Arial"/>
          <w:color w:val="222222"/>
          <w:sz w:val="19"/>
          <w:szCs w:val="19"/>
          <w:shd w:val="clear" w:color="auto" w:fill="FFFFFF"/>
        </w:rPr>
        <w:t>fda</w:t>
      </w:r>
      <w:proofErr w:type="spellEnd"/>
      <w:r>
        <w:rPr>
          <w:rFonts w:ascii="Arial" w:hAnsi="Arial" w:cs="Arial"/>
          <w:color w:val="222222"/>
          <w:sz w:val="19"/>
          <w:szCs w:val="19"/>
          <w:shd w:val="clear" w:color="auto" w:fill="FFFFFF"/>
        </w:rPr>
        <w:t xml:space="preserve"> adj3 web site).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(45)</w:t>
      </w:r>
      <w:r>
        <w:rPr>
          <w:rFonts w:ascii="Arial" w:hAnsi="Arial" w:cs="Arial"/>
          <w:color w:val="222222"/>
          <w:sz w:val="19"/>
          <w:szCs w:val="19"/>
        </w:rPr>
        <w:br/>
      </w:r>
      <w:r>
        <w:rPr>
          <w:rFonts w:ascii="Arial" w:hAnsi="Arial" w:cs="Arial"/>
          <w:color w:val="222222"/>
          <w:sz w:val="19"/>
          <w:szCs w:val="19"/>
          <w:shd w:val="clear" w:color="auto" w:fill="FFFFFF"/>
        </w:rPr>
        <w:t>16     ("food and drug administration" adj3 document*).</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(58)</w:t>
      </w:r>
      <w:r>
        <w:rPr>
          <w:rFonts w:ascii="Arial" w:hAnsi="Arial" w:cs="Arial"/>
          <w:color w:val="222222"/>
          <w:sz w:val="19"/>
          <w:szCs w:val="19"/>
        </w:rPr>
        <w:br/>
      </w:r>
      <w:r>
        <w:rPr>
          <w:rFonts w:ascii="Arial" w:hAnsi="Arial" w:cs="Arial"/>
          <w:color w:val="222222"/>
          <w:sz w:val="19"/>
          <w:szCs w:val="19"/>
          <w:shd w:val="clear" w:color="auto" w:fill="FFFFFF"/>
        </w:rPr>
        <w:t>17     ("food and drug administration" adj3 reports).</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(99)</w:t>
      </w:r>
      <w:r>
        <w:rPr>
          <w:rFonts w:ascii="Arial" w:hAnsi="Arial" w:cs="Arial"/>
          <w:color w:val="222222"/>
          <w:sz w:val="19"/>
          <w:szCs w:val="19"/>
        </w:rPr>
        <w:br/>
      </w:r>
      <w:r>
        <w:rPr>
          <w:rFonts w:ascii="Arial" w:hAnsi="Arial" w:cs="Arial"/>
          <w:color w:val="222222"/>
          <w:sz w:val="19"/>
          <w:szCs w:val="19"/>
          <w:shd w:val="clear" w:color="auto" w:fill="FFFFFF"/>
        </w:rPr>
        <w:t>18     ("food and drug administration" adj3 data).</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(157)</w:t>
      </w:r>
      <w:r>
        <w:rPr>
          <w:rFonts w:ascii="Arial" w:hAnsi="Arial" w:cs="Arial"/>
          <w:color w:val="222222"/>
          <w:sz w:val="19"/>
          <w:szCs w:val="19"/>
        </w:rPr>
        <w:br/>
      </w:r>
      <w:r>
        <w:rPr>
          <w:rFonts w:ascii="Arial" w:hAnsi="Arial" w:cs="Arial"/>
          <w:color w:val="222222"/>
          <w:sz w:val="19"/>
          <w:szCs w:val="19"/>
          <w:shd w:val="clear" w:color="auto" w:fill="FFFFFF"/>
        </w:rPr>
        <w:t>19     ("food and drug administration" adj3 website).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(46)</w:t>
      </w:r>
      <w:r>
        <w:rPr>
          <w:rFonts w:ascii="Arial" w:hAnsi="Arial" w:cs="Arial"/>
          <w:color w:val="222222"/>
          <w:sz w:val="19"/>
          <w:szCs w:val="19"/>
        </w:rPr>
        <w:br/>
      </w:r>
      <w:r>
        <w:rPr>
          <w:rFonts w:ascii="Arial" w:hAnsi="Arial" w:cs="Arial"/>
          <w:color w:val="222222"/>
          <w:sz w:val="19"/>
          <w:szCs w:val="19"/>
          <w:shd w:val="clear" w:color="auto" w:fill="FFFFFF"/>
        </w:rPr>
        <w:t>20     ("food and drug administration" adj3 web site).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(42)</w:t>
      </w:r>
      <w:r>
        <w:rPr>
          <w:rFonts w:ascii="Arial" w:hAnsi="Arial" w:cs="Arial"/>
          <w:color w:val="222222"/>
          <w:sz w:val="19"/>
          <w:szCs w:val="19"/>
        </w:rPr>
        <w:br/>
      </w:r>
      <w:r>
        <w:rPr>
          <w:rFonts w:ascii="Arial" w:hAnsi="Arial" w:cs="Arial"/>
          <w:color w:val="222222"/>
          <w:sz w:val="19"/>
          <w:szCs w:val="19"/>
          <w:shd w:val="clear" w:color="auto" w:fill="FFFFFF"/>
        </w:rPr>
        <w:t xml:space="preserve">21     trial$1 </w:t>
      </w:r>
      <w:proofErr w:type="spellStart"/>
      <w:r>
        <w:rPr>
          <w:rFonts w:ascii="Arial" w:hAnsi="Arial" w:cs="Arial"/>
          <w:color w:val="222222"/>
          <w:sz w:val="19"/>
          <w:szCs w:val="19"/>
          <w:shd w:val="clear" w:color="auto" w:fill="FFFFFF"/>
        </w:rPr>
        <w:t>register.ti</w:t>
      </w:r>
      <w:proofErr w:type="spellEnd"/>
      <w:r>
        <w:rPr>
          <w:rFonts w:ascii="Arial" w:hAnsi="Arial" w:cs="Arial"/>
          <w:color w:val="222222"/>
          <w:sz w:val="19"/>
          <w:szCs w:val="19"/>
          <w:shd w:val="clear" w:color="auto" w:fill="FFFFFF"/>
        </w:rPr>
        <w:t>. (23)</w:t>
      </w:r>
      <w:r>
        <w:rPr>
          <w:rFonts w:ascii="Arial" w:hAnsi="Arial" w:cs="Arial"/>
          <w:color w:val="222222"/>
          <w:sz w:val="19"/>
          <w:szCs w:val="19"/>
        </w:rPr>
        <w:br/>
      </w:r>
      <w:r>
        <w:rPr>
          <w:rFonts w:ascii="Arial" w:hAnsi="Arial" w:cs="Arial"/>
          <w:color w:val="222222"/>
          <w:sz w:val="19"/>
          <w:szCs w:val="19"/>
          <w:shd w:val="clear" w:color="auto" w:fill="FFFFFF"/>
        </w:rPr>
        <w:t xml:space="preserve">22     trial$1 </w:t>
      </w:r>
      <w:proofErr w:type="spellStart"/>
      <w:r>
        <w:rPr>
          <w:rFonts w:ascii="Arial" w:hAnsi="Arial" w:cs="Arial"/>
          <w:color w:val="222222"/>
          <w:sz w:val="19"/>
          <w:szCs w:val="19"/>
          <w:shd w:val="clear" w:color="auto" w:fill="FFFFFF"/>
        </w:rPr>
        <w:t>registers.ti</w:t>
      </w:r>
      <w:proofErr w:type="spellEnd"/>
      <w:r>
        <w:rPr>
          <w:rFonts w:ascii="Arial" w:hAnsi="Arial" w:cs="Arial"/>
          <w:color w:val="222222"/>
          <w:sz w:val="19"/>
          <w:szCs w:val="19"/>
          <w:shd w:val="clear" w:color="auto" w:fill="FFFFFF"/>
        </w:rPr>
        <w:t>. (13)</w:t>
      </w:r>
      <w:r>
        <w:rPr>
          <w:rFonts w:ascii="Arial" w:hAnsi="Arial" w:cs="Arial"/>
          <w:color w:val="222222"/>
          <w:sz w:val="19"/>
          <w:szCs w:val="19"/>
        </w:rPr>
        <w:br/>
      </w:r>
      <w:r>
        <w:rPr>
          <w:rFonts w:ascii="Arial" w:hAnsi="Arial" w:cs="Arial"/>
          <w:color w:val="222222"/>
          <w:sz w:val="19"/>
          <w:szCs w:val="19"/>
          <w:shd w:val="clear" w:color="auto" w:fill="FFFFFF"/>
        </w:rPr>
        <w:t xml:space="preserve">23     trial$1 </w:t>
      </w:r>
      <w:proofErr w:type="spellStart"/>
      <w:r>
        <w:rPr>
          <w:rFonts w:ascii="Arial" w:hAnsi="Arial" w:cs="Arial"/>
          <w:color w:val="222222"/>
          <w:sz w:val="19"/>
          <w:szCs w:val="19"/>
          <w:shd w:val="clear" w:color="auto" w:fill="FFFFFF"/>
        </w:rPr>
        <w:t>registry.ti</w:t>
      </w:r>
      <w:proofErr w:type="spellEnd"/>
      <w:r>
        <w:rPr>
          <w:rFonts w:ascii="Arial" w:hAnsi="Arial" w:cs="Arial"/>
          <w:color w:val="222222"/>
          <w:sz w:val="19"/>
          <w:szCs w:val="19"/>
          <w:shd w:val="clear" w:color="auto" w:fill="FFFFFF"/>
        </w:rPr>
        <w:t>. (84)</w:t>
      </w:r>
      <w:r>
        <w:rPr>
          <w:rFonts w:ascii="Arial" w:hAnsi="Arial" w:cs="Arial"/>
          <w:color w:val="222222"/>
          <w:sz w:val="19"/>
          <w:szCs w:val="19"/>
        </w:rPr>
        <w:br/>
      </w:r>
      <w:r>
        <w:rPr>
          <w:rFonts w:ascii="Arial" w:hAnsi="Arial" w:cs="Arial"/>
          <w:color w:val="222222"/>
          <w:sz w:val="19"/>
          <w:szCs w:val="19"/>
          <w:shd w:val="clear" w:color="auto" w:fill="FFFFFF"/>
        </w:rPr>
        <w:t xml:space="preserve">24     trial$1 </w:t>
      </w:r>
      <w:proofErr w:type="spellStart"/>
      <w:r>
        <w:rPr>
          <w:rFonts w:ascii="Arial" w:hAnsi="Arial" w:cs="Arial"/>
          <w:color w:val="222222"/>
          <w:sz w:val="19"/>
          <w:szCs w:val="19"/>
          <w:shd w:val="clear" w:color="auto" w:fill="FFFFFF"/>
        </w:rPr>
        <w:t>registries.ti</w:t>
      </w:r>
      <w:proofErr w:type="spellEnd"/>
      <w:r>
        <w:rPr>
          <w:rFonts w:ascii="Arial" w:hAnsi="Arial" w:cs="Arial"/>
          <w:color w:val="222222"/>
          <w:sz w:val="19"/>
          <w:szCs w:val="19"/>
          <w:shd w:val="clear" w:color="auto" w:fill="FFFFFF"/>
        </w:rPr>
        <w:t>. (36)</w:t>
      </w:r>
      <w:r>
        <w:rPr>
          <w:rFonts w:ascii="Arial" w:hAnsi="Arial" w:cs="Arial"/>
          <w:color w:val="222222"/>
          <w:sz w:val="19"/>
          <w:szCs w:val="19"/>
        </w:rPr>
        <w:br/>
      </w:r>
      <w:r>
        <w:rPr>
          <w:rFonts w:ascii="Arial" w:hAnsi="Arial" w:cs="Arial"/>
          <w:color w:val="222222"/>
          <w:sz w:val="19"/>
          <w:szCs w:val="19"/>
          <w:shd w:val="clear" w:color="auto" w:fill="FFFFFF"/>
        </w:rPr>
        <w:t>25     </w:t>
      </w:r>
      <w:proofErr w:type="spellStart"/>
      <w:r>
        <w:rPr>
          <w:rFonts w:ascii="Arial" w:hAnsi="Arial" w:cs="Arial"/>
          <w:color w:val="222222"/>
          <w:sz w:val="19"/>
          <w:szCs w:val="19"/>
          <w:shd w:val="clear" w:color="auto" w:fill="FFFFFF"/>
        </w:rPr>
        <w:t>clinicaltrial</w:t>
      </w:r>
      <w:proofErr w:type="spellEnd"/>
      <w:r>
        <w:rPr>
          <w:rFonts w:ascii="Arial" w:hAnsi="Arial" w:cs="Arial"/>
          <w:color w:val="222222"/>
          <w:sz w:val="19"/>
          <w:szCs w:val="19"/>
          <w:shd w:val="clear" w:color="auto" w:fill="FFFFFF"/>
        </w:rPr>
        <w:t>$.</w:t>
      </w:r>
      <w:proofErr w:type="spellStart"/>
      <w:r>
        <w:rPr>
          <w:rFonts w:ascii="Arial" w:hAnsi="Arial" w:cs="Arial"/>
          <w:color w:val="222222"/>
          <w:sz w:val="19"/>
          <w:szCs w:val="19"/>
          <w:shd w:val="clear" w:color="auto" w:fill="FFFFFF"/>
        </w:rPr>
        <w:t>ti</w:t>
      </w:r>
      <w:proofErr w:type="spellEnd"/>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not</w:t>
      </w:r>
      <w:proofErr w:type="gram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clinicaltrial</w:t>
      </w:r>
      <w:proofErr w:type="spellEnd"/>
      <w:r>
        <w:rPr>
          <w:rFonts w:ascii="Arial" w:hAnsi="Arial" w:cs="Arial"/>
          <w:color w:val="222222"/>
          <w:sz w:val="19"/>
          <w:szCs w:val="19"/>
          <w:shd w:val="clear" w:color="auto" w:fill="FFFFFF"/>
        </w:rPr>
        <w:t>$ or ISRCTN).</w:t>
      </w:r>
      <w:proofErr w:type="spellStart"/>
      <w:r>
        <w:rPr>
          <w:rFonts w:ascii="Arial" w:hAnsi="Arial" w:cs="Arial"/>
          <w:color w:val="222222"/>
          <w:sz w:val="19"/>
          <w:szCs w:val="19"/>
          <w:shd w:val="clear" w:color="auto" w:fill="FFFFFF"/>
        </w:rPr>
        <w:t>si</w:t>
      </w:r>
      <w:proofErr w:type="spellEnd"/>
      <w:r>
        <w:rPr>
          <w:rFonts w:ascii="Arial" w:hAnsi="Arial" w:cs="Arial"/>
          <w:color w:val="222222"/>
          <w:sz w:val="19"/>
          <w:szCs w:val="19"/>
          <w:shd w:val="clear" w:color="auto" w:fill="FFFFFF"/>
        </w:rPr>
        <w:t>. (99)</w:t>
      </w:r>
      <w:r>
        <w:rPr>
          <w:rFonts w:ascii="Arial" w:hAnsi="Arial" w:cs="Arial"/>
          <w:color w:val="222222"/>
          <w:sz w:val="19"/>
          <w:szCs w:val="19"/>
        </w:rPr>
        <w:br/>
      </w:r>
      <w:r>
        <w:rPr>
          <w:rFonts w:ascii="Arial" w:hAnsi="Arial" w:cs="Arial"/>
          <w:color w:val="222222"/>
          <w:sz w:val="19"/>
          <w:szCs w:val="19"/>
          <w:shd w:val="clear" w:color="auto" w:fill="FFFFFF"/>
        </w:rPr>
        <w:t xml:space="preserve">26     current controlled </w:t>
      </w:r>
      <w:proofErr w:type="spellStart"/>
      <w:r>
        <w:rPr>
          <w:rFonts w:ascii="Arial" w:hAnsi="Arial" w:cs="Arial"/>
          <w:color w:val="222222"/>
          <w:sz w:val="19"/>
          <w:szCs w:val="19"/>
          <w:shd w:val="clear" w:color="auto" w:fill="FFFFFF"/>
        </w:rPr>
        <w:t>trials.ti</w:t>
      </w:r>
      <w:proofErr w:type="spellEnd"/>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(0)</w:t>
      </w:r>
      <w:r>
        <w:rPr>
          <w:rFonts w:ascii="Arial" w:hAnsi="Arial" w:cs="Arial"/>
          <w:color w:val="222222"/>
          <w:sz w:val="19"/>
          <w:szCs w:val="19"/>
        </w:rPr>
        <w:br/>
      </w:r>
      <w:r>
        <w:rPr>
          <w:rFonts w:ascii="Arial" w:hAnsi="Arial" w:cs="Arial"/>
          <w:color w:val="222222"/>
          <w:sz w:val="19"/>
          <w:szCs w:val="19"/>
          <w:shd w:val="clear" w:color="auto" w:fill="FFFFFF"/>
        </w:rPr>
        <w:t>27     (</w:t>
      </w:r>
      <w:proofErr w:type="spellStart"/>
      <w:r>
        <w:rPr>
          <w:rFonts w:ascii="Arial" w:hAnsi="Arial" w:cs="Arial"/>
          <w:color w:val="222222"/>
          <w:sz w:val="19"/>
          <w:szCs w:val="19"/>
          <w:shd w:val="clear" w:color="auto" w:fill="FFFFFF"/>
        </w:rPr>
        <w:t>ictrp</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mrct</w:t>
      </w:r>
      <w:proofErr w:type="spellEnd"/>
      <w:r>
        <w:rPr>
          <w:rFonts w:ascii="Arial" w:hAnsi="Arial" w:cs="Arial"/>
          <w:color w:val="222222"/>
          <w:sz w:val="19"/>
          <w:szCs w:val="19"/>
          <w:shd w:val="clear" w:color="auto" w:fill="FFFFFF"/>
        </w:rPr>
        <w:t>).</w:t>
      </w:r>
      <w:proofErr w:type="spellStart"/>
      <w:r>
        <w:rPr>
          <w:rFonts w:ascii="Arial" w:hAnsi="Arial" w:cs="Arial"/>
          <w:color w:val="222222"/>
          <w:sz w:val="19"/>
          <w:szCs w:val="19"/>
          <w:shd w:val="clear" w:color="auto" w:fill="FFFFFF"/>
        </w:rPr>
        <w:t>ti</w:t>
      </w:r>
      <w:proofErr w:type="spellEnd"/>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 xml:space="preserve"> (2)</w:t>
      </w:r>
      <w:r>
        <w:rPr>
          <w:rFonts w:ascii="Arial" w:hAnsi="Arial" w:cs="Arial"/>
          <w:color w:val="222222"/>
          <w:sz w:val="19"/>
          <w:szCs w:val="19"/>
        </w:rPr>
        <w:br/>
      </w:r>
      <w:r>
        <w:rPr>
          <w:rFonts w:ascii="Arial" w:hAnsi="Arial" w:cs="Arial"/>
          <w:color w:val="222222"/>
          <w:sz w:val="19"/>
          <w:szCs w:val="19"/>
          <w:shd w:val="clear" w:color="auto" w:fill="FFFFFF"/>
        </w:rPr>
        <w:t xml:space="preserve">28     WHO </w:t>
      </w:r>
      <w:proofErr w:type="spellStart"/>
      <w:r>
        <w:rPr>
          <w:rFonts w:ascii="Arial" w:hAnsi="Arial" w:cs="Arial"/>
          <w:color w:val="222222"/>
          <w:sz w:val="19"/>
          <w:szCs w:val="19"/>
          <w:shd w:val="clear" w:color="auto" w:fill="FFFFFF"/>
        </w:rPr>
        <w:t>portal.ti</w:t>
      </w:r>
      <w:proofErr w:type="spellEnd"/>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(0)</w:t>
      </w:r>
      <w:r>
        <w:rPr>
          <w:rFonts w:ascii="Arial" w:hAnsi="Arial" w:cs="Arial"/>
          <w:color w:val="222222"/>
          <w:sz w:val="19"/>
          <w:szCs w:val="19"/>
        </w:rPr>
        <w:br/>
      </w:r>
      <w:r>
        <w:rPr>
          <w:rFonts w:ascii="Arial" w:hAnsi="Arial" w:cs="Arial"/>
          <w:color w:val="222222"/>
          <w:sz w:val="19"/>
          <w:szCs w:val="19"/>
          <w:shd w:val="clear" w:color="auto" w:fill="FFFFFF"/>
        </w:rPr>
        <w:t xml:space="preserve">29     publication </w:t>
      </w:r>
      <w:proofErr w:type="spellStart"/>
      <w:r>
        <w:rPr>
          <w:rFonts w:ascii="Arial" w:hAnsi="Arial" w:cs="Arial"/>
          <w:color w:val="222222"/>
          <w:sz w:val="19"/>
          <w:szCs w:val="19"/>
          <w:shd w:val="clear" w:color="auto" w:fill="FFFFFF"/>
        </w:rPr>
        <w:t>bias.ti</w:t>
      </w:r>
      <w:proofErr w:type="spellEnd"/>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 xml:space="preserve"> (351)</w:t>
      </w:r>
      <w:r>
        <w:rPr>
          <w:rFonts w:ascii="Arial" w:hAnsi="Arial" w:cs="Arial"/>
          <w:color w:val="222222"/>
          <w:sz w:val="19"/>
          <w:szCs w:val="19"/>
        </w:rPr>
        <w:br/>
      </w:r>
      <w:r>
        <w:rPr>
          <w:rFonts w:ascii="Arial" w:hAnsi="Arial" w:cs="Arial"/>
          <w:color w:val="222222"/>
          <w:sz w:val="19"/>
          <w:szCs w:val="19"/>
          <w:shd w:val="clear" w:color="auto" w:fill="FFFFFF"/>
        </w:rPr>
        <w:t>30     </w:t>
      </w:r>
      <w:proofErr w:type="spellStart"/>
      <w:proofErr w:type="gramStart"/>
      <w:r>
        <w:rPr>
          <w:rFonts w:ascii="Arial" w:hAnsi="Arial" w:cs="Arial"/>
          <w:color w:val="222222"/>
          <w:sz w:val="19"/>
          <w:szCs w:val="19"/>
          <w:shd w:val="clear" w:color="auto" w:fill="FFFFFF"/>
        </w:rPr>
        <w:t>european</w:t>
      </w:r>
      <w:proofErr w:type="spellEnd"/>
      <w:proofErr w:type="gramEnd"/>
      <w:r>
        <w:rPr>
          <w:rFonts w:ascii="Arial" w:hAnsi="Arial" w:cs="Arial"/>
          <w:color w:val="222222"/>
          <w:sz w:val="19"/>
          <w:szCs w:val="19"/>
          <w:shd w:val="clear" w:color="auto" w:fill="FFFFFF"/>
        </w:rPr>
        <w:t xml:space="preserve"> medicines </w:t>
      </w:r>
      <w:proofErr w:type="spellStart"/>
      <w:r>
        <w:rPr>
          <w:rFonts w:ascii="Arial" w:hAnsi="Arial" w:cs="Arial"/>
          <w:color w:val="222222"/>
          <w:sz w:val="19"/>
          <w:szCs w:val="19"/>
          <w:shd w:val="clear" w:color="auto" w:fill="FFFFFF"/>
        </w:rPr>
        <w:t>agency.ti</w:t>
      </w:r>
      <w:proofErr w:type="spellEnd"/>
      <w:r>
        <w:rPr>
          <w:rFonts w:ascii="Arial" w:hAnsi="Arial" w:cs="Arial"/>
          <w:color w:val="222222"/>
          <w:sz w:val="19"/>
          <w:szCs w:val="19"/>
          <w:shd w:val="clear" w:color="auto" w:fill="FFFFFF"/>
        </w:rPr>
        <w:t>. (113)</w:t>
      </w:r>
      <w:r>
        <w:rPr>
          <w:rFonts w:ascii="Arial" w:hAnsi="Arial" w:cs="Arial"/>
          <w:color w:val="222222"/>
          <w:sz w:val="19"/>
          <w:szCs w:val="19"/>
        </w:rPr>
        <w:br/>
      </w:r>
      <w:r>
        <w:rPr>
          <w:rFonts w:ascii="Arial" w:hAnsi="Arial" w:cs="Arial"/>
          <w:color w:val="222222"/>
          <w:sz w:val="19"/>
          <w:szCs w:val="19"/>
          <w:shd w:val="clear" w:color="auto" w:fill="FFFFFF"/>
        </w:rPr>
        <w:t>31     (</w:t>
      </w:r>
      <w:proofErr w:type="spellStart"/>
      <w:r>
        <w:rPr>
          <w:rFonts w:ascii="Arial" w:hAnsi="Arial" w:cs="Arial"/>
          <w:color w:val="222222"/>
          <w:sz w:val="19"/>
          <w:szCs w:val="19"/>
          <w:shd w:val="clear" w:color="auto" w:fill="FFFFFF"/>
        </w:rPr>
        <w:t>ema</w:t>
      </w:r>
      <w:proofErr w:type="spellEnd"/>
      <w:r>
        <w:rPr>
          <w:rFonts w:ascii="Arial" w:hAnsi="Arial" w:cs="Arial"/>
          <w:color w:val="222222"/>
          <w:sz w:val="19"/>
          <w:szCs w:val="19"/>
          <w:shd w:val="clear" w:color="auto" w:fill="FFFFFF"/>
        </w:rPr>
        <w:t xml:space="preserve"> adj3 documents).</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(4)</w:t>
      </w:r>
      <w:r>
        <w:rPr>
          <w:rFonts w:ascii="Arial" w:hAnsi="Arial" w:cs="Arial"/>
          <w:color w:val="222222"/>
          <w:sz w:val="19"/>
          <w:szCs w:val="19"/>
        </w:rPr>
        <w:br/>
      </w:r>
      <w:r>
        <w:rPr>
          <w:rFonts w:ascii="Arial" w:hAnsi="Arial" w:cs="Arial"/>
          <w:color w:val="222222"/>
          <w:sz w:val="19"/>
          <w:szCs w:val="19"/>
          <w:shd w:val="clear" w:color="auto" w:fill="FFFFFF"/>
        </w:rPr>
        <w:t>32     ((</w:t>
      </w:r>
      <w:proofErr w:type="spellStart"/>
      <w:r>
        <w:rPr>
          <w:rFonts w:ascii="Arial" w:hAnsi="Arial" w:cs="Arial"/>
          <w:color w:val="222222"/>
          <w:sz w:val="19"/>
          <w:szCs w:val="19"/>
          <w:shd w:val="clear" w:color="auto" w:fill="FFFFFF"/>
        </w:rPr>
        <w:t>ema</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emea</w:t>
      </w:r>
      <w:proofErr w:type="spellEnd"/>
      <w:r>
        <w:rPr>
          <w:rFonts w:ascii="Arial" w:hAnsi="Arial" w:cs="Arial"/>
          <w:color w:val="222222"/>
          <w:sz w:val="19"/>
          <w:szCs w:val="19"/>
          <w:shd w:val="clear" w:color="auto" w:fill="FFFFFF"/>
        </w:rPr>
        <w:t>) adj3 documents).</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(10)</w:t>
      </w:r>
      <w:r>
        <w:rPr>
          <w:rFonts w:ascii="Arial" w:hAnsi="Arial" w:cs="Arial"/>
          <w:color w:val="222222"/>
          <w:sz w:val="19"/>
          <w:szCs w:val="19"/>
        </w:rPr>
        <w:br/>
      </w:r>
      <w:r>
        <w:rPr>
          <w:rFonts w:ascii="Arial" w:hAnsi="Arial" w:cs="Arial"/>
          <w:color w:val="222222"/>
          <w:sz w:val="19"/>
          <w:szCs w:val="19"/>
          <w:shd w:val="clear" w:color="auto" w:fill="FFFFFF"/>
        </w:rPr>
        <w:t>33     ((</w:t>
      </w:r>
      <w:proofErr w:type="spellStart"/>
      <w:r>
        <w:rPr>
          <w:rFonts w:ascii="Arial" w:hAnsi="Arial" w:cs="Arial"/>
          <w:color w:val="222222"/>
          <w:sz w:val="19"/>
          <w:szCs w:val="19"/>
          <w:shd w:val="clear" w:color="auto" w:fill="FFFFFF"/>
        </w:rPr>
        <w:t>ema</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emea</w:t>
      </w:r>
      <w:proofErr w:type="spellEnd"/>
      <w:r>
        <w:rPr>
          <w:rFonts w:ascii="Arial" w:hAnsi="Arial" w:cs="Arial"/>
          <w:color w:val="222222"/>
          <w:sz w:val="19"/>
          <w:szCs w:val="19"/>
          <w:shd w:val="clear" w:color="auto" w:fill="FFFFFF"/>
        </w:rPr>
        <w:t>) adj3 reports).</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(17)</w:t>
      </w:r>
      <w:r>
        <w:rPr>
          <w:rFonts w:ascii="Arial" w:hAnsi="Arial" w:cs="Arial"/>
          <w:color w:val="222222"/>
          <w:sz w:val="19"/>
          <w:szCs w:val="19"/>
        </w:rPr>
        <w:br/>
      </w:r>
      <w:r>
        <w:rPr>
          <w:rFonts w:ascii="Arial" w:hAnsi="Arial" w:cs="Arial"/>
          <w:color w:val="222222"/>
          <w:sz w:val="19"/>
          <w:szCs w:val="19"/>
          <w:shd w:val="clear" w:color="auto" w:fill="FFFFFF"/>
        </w:rPr>
        <w:t>34     ((</w:t>
      </w:r>
      <w:proofErr w:type="spellStart"/>
      <w:r>
        <w:rPr>
          <w:rFonts w:ascii="Arial" w:hAnsi="Arial" w:cs="Arial"/>
          <w:color w:val="222222"/>
          <w:sz w:val="19"/>
          <w:szCs w:val="19"/>
          <w:shd w:val="clear" w:color="auto" w:fill="FFFFFF"/>
        </w:rPr>
        <w:t>ema</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emea</w:t>
      </w:r>
      <w:proofErr w:type="spellEnd"/>
      <w:r>
        <w:rPr>
          <w:rFonts w:ascii="Arial" w:hAnsi="Arial" w:cs="Arial"/>
          <w:color w:val="222222"/>
          <w:sz w:val="19"/>
          <w:szCs w:val="19"/>
          <w:shd w:val="clear" w:color="auto" w:fill="FFFFFF"/>
        </w:rPr>
        <w:t>) adj3 data).</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(73)</w:t>
      </w:r>
      <w:r>
        <w:rPr>
          <w:rFonts w:ascii="Arial" w:hAnsi="Arial" w:cs="Arial"/>
          <w:color w:val="222222"/>
          <w:sz w:val="19"/>
          <w:szCs w:val="19"/>
        </w:rPr>
        <w:br/>
      </w:r>
      <w:r>
        <w:rPr>
          <w:rFonts w:ascii="Arial" w:hAnsi="Arial" w:cs="Arial"/>
          <w:color w:val="222222"/>
          <w:sz w:val="19"/>
          <w:szCs w:val="19"/>
          <w:shd w:val="clear" w:color="auto" w:fill="FFFFFF"/>
        </w:rPr>
        <w:t>35     ((</w:t>
      </w:r>
      <w:proofErr w:type="spellStart"/>
      <w:r>
        <w:rPr>
          <w:rFonts w:ascii="Arial" w:hAnsi="Arial" w:cs="Arial"/>
          <w:color w:val="222222"/>
          <w:sz w:val="19"/>
          <w:szCs w:val="19"/>
          <w:shd w:val="clear" w:color="auto" w:fill="FFFFFF"/>
        </w:rPr>
        <w:t>ema</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emea</w:t>
      </w:r>
      <w:proofErr w:type="spellEnd"/>
      <w:r>
        <w:rPr>
          <w:rFonts w:ascii="Arial" w:hAnsi="Arial" w:cs="Arial"/>
          <w:color w:val="222222"/>
          <w:sz w:val="19"/>
          <w:szCs w:val="19"/>
          <w:shd w:val="clear" w:color="auto" w:fill="FFFFFF"/>
        </w:rPr>
        <w:t>) adj3 website).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(21)</w:t>
      </w:r>
      <w:r>
        <w:rPr>
          <w:rFonts w:ascii="Arial" w:hAnsi="Arial" w:cs="Arial"/>
          <w:color w:val="222222"/>
          <w:sz w:val="19"/>
          <w:szCs w:val="19"/>
        </w:rPr>
        <w:br/>
      </w:r>
      <w:r>
        <w:rPr>
          <w:rFonts w:ascii="Arial" w:hAnsi="Arial" w:cs="Arial"/>
          <w:color w:val="222222"/>
          <w:sz w:val="19"/>
          <w:szCs w:val="19"/>
          <w:shd w:val="clear" w:color="auto" w:fill="FFFFFF"/>
        </w:rPr>
        <w:t>36     ((</w:t>
      </w:r>
      <w:proofErr w:type="spellStart"/>
      <w:r>
        <w:rPr>
          <w:rFonts w:ascii="Arial" w:hAnsi="Arial" w:cs="Arial"/>
          <w:color w:val="222222"/>
          <w:sz w:val="19"/>
          <w:szCs w:val="19"/>
          <w:shd w:val="clear" w:color="auto" w:fill="FFFFFF"/>
        </w:rPr>
        <w:t>ema</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emea</w:t>
      </w:r>
      <w:proofErr w:type="spellEnd"/>
      <w:r>
        <w:rPr>
          <w:rFonts w:ascii="Arial" w:hAnsi="Arial" w:cs="Arial"/>
          <w:color w:val="222222"/>
          <w:sz w:val="19"/>
          <w:szCs w:val="19"/>
          <w:shd w:val="clear" w:color="auto" w:fill="FFFFFF"/>
        </w:rPr>
        <w:t>) adj3 web site).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(4)</w:t>
      </w:r>
      <w:r>
        <w:rPr>
          <w:rFonts w:ascii="Arial" w:hAnsi="Arial" w:cs="Arial"/>
          <w:color w:val="222222"/>
          <w:sz w:val="19"/>
          <w:szCs w:val="19"/>
        </w:rPr>
        <w:br/>
      </w:r>
      <w:r>
        <w:rPr>
          <w:rFonts w:ascii="Arial" w:hAnsi="Arial" w:cs="Arial"/>
          <w:color w:val="222222"/>
          <w:sz w:val="19"/>
          <w:szCs w:val="19"/>
          <w:shd w:val="clear" w:color="auto" w:fill="FFFFFF"/>
        </w:rPr>
        <w:t>37     (</w:t>
      </w:r>
      <w:proofErr w:type="spellStart"/>
      <w:r>
        <w:rPr>
          <w:rFonts w:ascii="Arial" w:hAnsi="Arial" w:cs="Arial"/>
          <w:color w:val="222222"/>
          <w:sz w:val="19"/>
          <w:szCs w:val="19"/>
          <w:shd w:val="clear" w:color="auto" w:fill="FFFFFF"/>
        </w:rPr>
        <w:t>european</w:t>
      </w:r>
      <w:proofErr w:type="spellEnd"/>
      <w:r>
        <w:rPr>
          <w:rFonts w:ascii="Arial" w:hAnsi="Arial" w:cs="Arial"/>
          <w:color w:val="222222"/>
          <w:sz w:val="19"/>
          <w:szCs w:val="19"/>
          <w:shd w:val="clear" w:color="auto" w:fill="FFFFFF"/>
        </w:rPr>
        <w:t xml:space="preserve"> medicines agency adj3 documents).</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(2)</w:t>
      </w:r>
      <w:r>
        <w:rPr>
          <w:rFonts w:ascii="Arial" w:hAnsi="Arial" w:cs="Arial"/>
          <w:color w:val="222222"/>
          <w:sz w:val="19"/>
          <w:szCs w:val="19"/>
        </w:rPr>
        <w:br/>
      </w:r>
      <w:r>
        <w:rPr>
          <w:rFonts w:ascii="Arial" w:hAnsi="Arial" w:cs="Arial"/>
          <w:color w:val="222222"/>
          <w:sz w:val="19"/>
          <w:szCs w:val="19"/>
          <w:shd w:val="clear" w:color="auto" w:fill="FFFFFF"/>
        </w:rPr>
        <w:t>38     (</w:t>
      </w:r>
      <w:proofErr w:type="spellStart"/>
      <w:r>
        <w:rPr>
          <w:rFonts w:ascii="Arial" w:hAnsi="Arial" w:cs="Arial"/>
          <w:color w:val="222222"/>
          <w:sz w:val="19"/>
          <w:szCs w:val="19"/>
          <w:shd w:val="clear" w:color="auto" w:fill="FFFFFF"/>
        </w:rPr>
        <w:t>european</w:t>
      </w:r>
      <w:proofErr w:type="spellEnd"/>
      <w:r>
        <w:rPr>
          <w:rFonts w:ascii="Arial" w:hAnsi="Arial" w:cs="Arial"/>
          <w:color w:val="222222"/>
          <w:sz w:val="19"/>
          <w:szCs w:val="19"/>
          <w:shd w:val="clear" w:color="auto" w:fill="FFFFFF"/>
        </w:rPr>
        <w:t xml:space="preserve"> medicines agency adj3 reports).</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(6)</w:t>
      </w:r>
      <w:r>
        <w:rPr>
          <w:rFonts w:ascii="Arial" w:hAnsi="Arial" w:cs="Arial"/>
          <w:color w:val="222222"/>
          <w:sz w:val="19"/>
          <w:szCs w:val="19"/>
        </w:rPr>
        <w:br/>
      </w:r>
      <w:r>
        <w:rPr>
          <w:rFonts w:ascii="Arial" w:hAnsi="Arial" w:cs="Arial"/>
          <w:color w:val="222222"/>
          <w:sz w:val="19"/>
          <w:szCs w:val="19"/>
          <w:shd w:val="clear" w:color="auto" w:fill="FFFFFF"/>
        </w:rPr>
        <w:t>39     (</w:t>
      </w:r>
      <w:proofErr w:type="spellStart"/>
      <w:r>
        <w:rPr>
          <w:rFonts w:ascii="Arial" w:hAnsi="Arial" w:cs="Arial"/>
          <w:color w:val="222222"/>
          <w:sz w:val="19"/>
          <w:szCs w:val="19"/>
          <w:shd w:val="clear" w:color="auto" w:fill="FFFFFF"/>
        </w:rPr>
        <w:t>european</w:t>
      </w:r>
      <w:proofErr w:type="spellEnd"/>
      <w:r>
        <w:rPr>
          <w:rFonts w:ascii="Arial" w:hAnsi="Arial" w:cs="Arial"/>
          <w:color w:val="222222"/>
          <w:sz w:val="19"/>
          <w:szCs w:val="19"/>
          <w:shd w:val="clear" w:color="auto" w:fill="FFFFFF"/>
        </w:rPr>
        <w:t xml:space="preserve"> medicines agency adj3 data).</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(12)</w:t>
      </w:r>
      <w:r>
        <w:rPr>
          <w:rFonts w:ascii="Arial" w:hAnsi="Arial" w:cs="Arial"/>
          <w:color w:val="222222"/>
          <w:sz w:val="19"/>
          <w:szCs w:val="19"/>
        </w:rPr>
        <w:br/>
      </w:r>
      <w:r>
        <w:rPr>
          <w:rFonts w:ascii="Arial" w:hAnsi="Arial" w:cs="Arial"/>
          <w:color w:val="222222"/>
          <w:sz w:val="19"/>
          <w:szCs w:val="19"/>
          <w:shd w:val="clear" w:color="auto" w:fill="FFFFFF"/>
        </w:rPr>
        <w:t>40     (</w:t>
      </w:r>
      <w:proofErr w:type="spellStart"/>
      <w:r>
        <w:rPr>
          <w:rFonts w:ascii="Arial" w:hAnsi="Arial" w:cs="Arial"/>
          <w:color w:val="222222"/>
          <w:sz w:val="19"/>
          <w:szCs w:val="19"/>
          <w:shd w:val="clear" w:color="auto" w:fill="FFFFFF"/>
        </w:rPr>
        <w:t>european</w:t>
      </w:r>
      <w:proofErr w:type="spellEnd"/>
      <w:r>
        <w:rPr>
          <w:rFonts w:ascii="Arial" w:hAnsi="Arial" w:cs="Arial"/>
          <w:color w:val="222222"/>
          <w:sz w:val="19"/>
          <w:szCs w:val="19"/>
          <w:shd w:val="clear" w:color="auto" w:fill="FFFFFF"/>
        </w:rPr>
        <w:t xml:space="preserve"> medicines agency adj3 website).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(18)</w:t>
      </w:r>
      <w:r>
        <w:rPr>
          <w:rFonts w:ascii="Arial" w:hAnsi="Arial" w:cs="Arial"/>
          <w:color w:val="222222"/>
          <w:sz w:val="19"/>
          <w:szCs w:val="19"/>
        </w:rPr>
        <w:br/>
      </w:r>
      <w:r>
        <w:rPr>
          <w:rFonts w:ascii="Arial" w:hAnsi="Arial" w:cs="Arial"/>
          <w:color w:val="222222"/>
          <w:sz w:val="19"/>
          <w:szCs w:val="19"/>
          <w:shd w:val="clear" w:color="auto" w:fill="FFFFFF"/>
        </w:rPr>
        <w:t>41     (</w:t>
      </w:r>
      <w:proofErr w:type="spellStart"/>
      <w:r>
        <w:rPr>
          <w:rFonts w:ascii="Arial" w:hAnsi="Arial" w:cs="Arial"/>
          <w:color w:val="222222"/>
          <w:sz w:val="19"/>
          <w:szCs w:val="19"/>
          <w:shd w:val="clear" w:color="auto" w:fill="FFFFFF"/>
        </w:rPr>
        <w:t>european</w:t>
      </w:r>
      <w:proofErr w:type="spellEnd"/>
      <w:r>
        <w:rPr>
          <w:rFonts w:ascii="Arial" w:hAnsi="Arial" w:cs="Arial"/>
          <w:color w:val="222222"/>
          <w:sz w:val="19"/>
          <w:szCs w:val="19"/>
          <w:shd w:val="clear" w:color="auto" w:fill="FFFFFF"/>
        </w:rPr>
        <w:t xml:space="preserve"> medicines agency adj3 web site).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(1)</w:t>
      </w:r>
      <w:r>
        <w:rPr>
          <w:rFonts w:ascii="Arial" w:hAnsi="Arial" w:cs="Arial"/>
          <w:color w:val="222222"/>
          <w:sz w:val="19"/>
          <w:szCs w:val="19"/>
        </w:rPr>
        <w:br/>
      </w:r>
      <w:r>
        <w:rPr>
          <w:rFonts w:ascii="Arial" w:hAnsi="Arial" w:cs="Arial"/>
          <w:color w:val="222222"/>
          <w:sz w:val="19"/>
          <w:szCs w:val="19"/>
          <w:shd w:val="clear" w:color="auto" w:fill="FFFFFF"/>
        </w:rPr>
        <w:lastRenderedPageBreak/>
        <w:t>42     licensing document*.</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(5)</w:t>
      </w:r>
      <w:r>
        <w:rPr>
          <w:rFonts w:ascii="Arial" w:hAnsi="Arial" w:cs="Arial"/>
          <w:color w:val="222222"/>
          <w:sz w:val="19"/>
          <w:szCs w:val="19"/>
        </w:rPr>
        <w:br/>
      </w:r>
      <w:r>
        <w:rPr>
          <w:rFonts w:ascii="Arial" w:hAnsi="Arial" w:cs="Arial"/>
          <w:color w:val="222222"/>
          <w:sz w:val="19"/>
          <w:szCs w:val="19"/>
          <w:shd w:val="clear" w:color="auto" w:fill="FFFFFF"/>
        </w:rPr>
        <w:t>43     licensing application*.</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(19)</w:t>
      </w:r>
      <w:r>
        <w:rPr>
          <w:rFonts w:ascii="Arial" w:hAnsi="Arial" w:cs="Arial"/>
          <w:color w:val="222222"/>
          <w:sz w:val="19"/>
          <w:szCs w:val="19"/>
        </w:rPr>
        <w:br/>
      </w:r>
      <w:r>
        <w:rPr>
          <w:rFonts w:ascii="Arial" w:hAnsi="Arial" w:cs="Arial"/>
          <w:color w:val="222222"/>
          <w:sz w:val="19"/>
          <w:szCs w:val="19"/>
          <w:shd w:val="clear" w:color="auto" w:fill="FFFFFF"/>
        </w:rPr>
        <w:t>44     (published adj3 (unpublished or "not published")).</w:t>
      </w:r>
      <w:proofErr w:type="spellStart"/>
      <w:r>
        <w:rPr>
          <w:rFonts w:ascii="Arial" w:hAnsi="Arial" w:cs="Arial"/>
          <w:color w:val="222222"/>
          <w:sz w:val="19"/>
          <w:szCs w:val="19"/>
          <w:shd w:val="clear" w:color="auto" w:fill="FFFFFF"/>
        </w:rPr>
        <w:t>ab</w:t>
      </w:r>
      <w:proofErr w:type="gramStart"/>
      <w:r>
        <w:rPr>
          <w:rFonts w:ascii="Arial" w:hAnsi="Arial" w:cs="Arial"/>
          <w:color w:val="222222"/>
          <w:sz w:val="19"/>
          <w:szCs w:val="19"/>
          <w:shd w:val="clear" w:color="auto" w:fill="FFFFFF"/>
        </w:rPr>
        <w:t>,kw</w:t>
      </w:r>
      <w:proofErr w:type="spellEnd"/>
      <w:proofErr w:type="gramEnd"/>
      <w:r>
        <w:rPr>
          <w:rFonts w:ascii="Arial" w:hAnsi="Arial" w:cs="Arial"/>
          <w:color w:val="222222"/>
          <w:sz w:val="19"/>
          <w:szCs w:val="19"/>
          <w:shd w:val="clear" w:color="auto" w:fill="FFFFFF"/>
        </w:rPr>
        <w:t>. (3327)</w:t>
      </w:r>
      <w:r>
        <w:rPr>
          <w:rFonts w:ascii="Arial" w:hAnsi="Arial" w:cs="Arial"/>
          <w:color w:val="222222"/>
          <w:sz w:val="19"/>
          <w:szCs w:val="19"/>
        </w:rPr>
        <w:br/>
      </w:r>
      <w:r>
        <w:rPr>
          <w:rFonts w:ascii="Arial" w:hAnsi="Arial" w:cs="Arial"/>
          <w:color w:val="222222"/>
          <w:sz w:val="19"/>
          <w:szCs w:val="19"/>
          <w:shd w:val="clear" w:color="auto" w:fill="FFFFFF"/>
        </w:rPr>
        <w:t>45     (spontaneous report* and published).</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(105)</w:t>
      </w:r>
      <w:r>
        <w:rPr>
          <w:rFonts w:ascii="Arial" w:hAnsi="Arial" w:cs="Arial"/>
          <w:color w:val="222222"/>
          <w:sz w:val="19"/>
          <w:szCs w:val="19"/>
        </w:rPr>
        <w:br/>
      </w:r>
      <w:r>
        <w:rPr>
          <w:rFonts w:ascii="Arial" w:hAnsi="Arial" w:cs="Arial"/>
          <w:color w:val="222222"/>
          <w:sz w:val="19"/>
          <w:szCs w:val="19"/>
          <w:shd w:val="clear" w:color="auto" w:fill="FFFFFF"/>
        </w:rPr>
        <w:t xml:space="preserve">46     ((differ* or compare or compared or compares or comparing comparison* or impact or value or use* or versus) </w:t>
      </w:r>
      <w:proofErr w:type="gramStart"/>
      <w:r>
        <w:rPr>
          <w:rFonts w:ascii="Arial" w:hAnsi="Arial" w:cs="Arial"/>
          <w:color w:val="222222"/>
          <w:sz w:val="19"/>
          <w:szCs w:val="19"/>
          <w:shd w:val="clear" w:color="auto" w:fill="FFFFFF"/>
        </w:rPr>
        <w:t>adj3</w:t>
      </w:r>
      <w:proofErr w:type="gramEnd"/>
      <w:r>
        <w:rPr>
          <w:rFonts w:ascii="Arial" w:hAnsi="Arial" w:cs="Arial"/>
          <w:color w:val="222222"/>
          <w:sz w:val="19"/>
          <w:szCs w:val="19"/>
        </w:rPr>
        <w:br/>
      </w:r>
      <w:r>
        <w:rPr>
          <w:rFonts w:ascii="Arial" w:hAnsi="Arial" w:cs="Arial"/>
          <w:color w:val="222222"/>
          <w:sz w:val="19"/>
          <w:szCs w:val="19"/>
          <w:shd w:val="clear" w:color="auto" w:fill="FFFFFF"/>
        </w:rPr>
        <w:t>(unpublished or "not published")).ab. (182)</w:t>
      </w:r>
      <w:r>
        <w:rPr>
          <w:rFonts w:ascii="Arial" w:hAnsi="Arial" w:cs="Arial"/>
          <w:color w:val="222222"/>
          <w:sz w:val="19"/>
          <w:szCs w:val="19"/>
        </w:rPr>
        <w:br/>
      </w:r>
      <w:r>
        <w:rPr>
          <w:rFonts w:ascii="Arial" w:hAnsi="Arial" w:cs="Arial"/>
          <w:color w:val="222222"/>
          <w:sz w:val="19"/>
          <w:szCs w:val="19"/>
          <w:shd w:val="clear" w:color="auto" w:fill="FFFFFF"/>
        </w:rPr>
        <w:t>47     *"Publication Bias"/ (885)</w:t>
      </w:r>
      <w:r>
        <w:rPr>
          <w:rFonts w:ascii="Arial" w:hAnsi="Arial" w:cs="Arial"/>
          <w:color w:val="222222"/>
          <w:sz w:val="19"/>
          <w:szCs w:val="19"/>
        </w:rPr>
        <w:br/>
      </w:r>
      <w:r>
        <w:rPr>
          <w:rFonts w:ascii="Arial" w:hAnsi="Arial" w:cs="Arial"/>
          <w:color w:val="222222"/>
          <w:sz w:val="19"/>
          <w:szCs w:val="19"/>
          <w:shd w:val="clear" w:color="auto" w:fill="FFFFFF"/>
        </w:rPr>
        <w:t>48     or/1-47 (6987)</w:t>
      </w:r>
      <w:r>
        <w:rPr>
          <w:rFonts w:ascii="Arial" w:hAnsi="Arial" w:cs="Arial"/>
          <w:color w:val="222222"/>
          <w:sz w:val="19"/>
          <w:szCs w:val="19"/>
        </w:rPr>
        <w:br/>
      </w:r>
      <w:r>
        <w:rPr>
          <w:rFonts w:ascii="Arial" w:hAnsi="Arial" w:cs="Arial"/>
          <w:color w:val="222222"/>
          <w:sz w:val="19"/>
          <w:szCs w:val="19"/>
          <w:shd w:val="clear" w:color="auto" w:fill="FFFFFF"/>
        </w:rPr>
        <w:t>49     (adverse adj2 (interaction$ or response$ or effect$ or event$ or reaction$ or outcome$)).</w:t>
      </w:r>
      <w:proofErr w:type="spellStart"/>
      <w:r>
        <w:rPr>
          <w:rFonts w:ascii="Arial" w:hAnsi="Arial" w:cs="Arial"/>
          <w:color w:val="222222"/>
          <w:sz w:val="19"/>
          <w:szCs w:val="19"/>
          <w:shd w:val="clear" w:color="auto" w:fill="FFFFFF"/>
        </w:rPr>
        <w:t>ti,ab,kw</w:t>
      </w:r>
      <w:proofErr w:type="spellEnd"/>
      <w:r>
        <w:rPr>
          <w:rFonts w:ascii="Arial" w:hAnsi="Arial" w:cs="Arial"/>
          <w:color w:val="222222"/>
          <w:sz w:val="19"/>
          <w:szCs w:val="19"/>
          <w:shd w:val="clear" w:color="auto" w:fill="FFFFFF"/>
        </w:rPr>
        <w:t>. (270913)</w:t>
      </w:r>
      <w:r>
        <w:rPr>
          <w:rFonts w:ascii="Arial" w:hAnsi="Arial" w:cs="Arial"/>
          <w:color w:val="222222"/>
          <w:sz w:val="19"/>
          <w:szCs w:val="19"/>
        </w:rPr>
        <w:br/>
      </w:r>
      <w:r>
        <w:rPr>
          <w:rFonts w:ascii="Arial" w:hAnsi="Arial" w:cs="Arial"/>
          <w:color w:val="222222"/>
          <w:sz w:val="19"/>
          <w:szCs w:val="19"/>
          <w:shd w:val="clear" w:color="auto" w:fill="FFFFFF"/>
        </w:rPr>
        <w:t>50     side effect$.</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(185122)</w:t>
      </w:r>
      <w:r>
        <w:rPr>
          <w:rFonts w:ascii="Arial" w:hAnsi="Arial" w:cs="Arial"/>
          <w:color w:val="222222"/>
          <w:sz w:val="19"/>
          <w:szCs w:val="19"/>
        </w:rPr>
        <w:br/>
      </w:r>
      <w:r>
        <w:rPr>
          <w:rFonts w:ascii="Arial" w:hAnsi="Arial" w:cs="Arial"/>
          <w:color w:val="222222"/>
          <w:sz w:val="19"/>
          <w:szCs w:val="19"/>
          <w:shd w:val="clear" w:color="auto" w:fill="FFFFFF"/>
        </w:rPr>
        <w:t>51     (unintended adj2 (interaction$ or response$ or effect$ or event$ or reaction$ or outcome$)).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(940)</w:t>
      </w:r>
      <w:r>
        <w:rPr>
          <w:rFonts w:ascii="Arial" w:hAnsi="Arial" w:cs="Arial"/>
          <w:color w:val="222222"/>
          <w:sz w:val="19"/>
          <w:szCs w:val="19"/>
        </w:rPr>
        <w:br/>
      </w:r>
      <w:r>
        <w:rPr>
          <w:rFonts w:ascii="Arial" w:hAnsi="Arial" w:cs="Arial"/>
          <w:color w:val="222222"/>
          <w:sz w:val="19"/>
          <w:szCs w:val="19"/>
          <w:shd w:val="clear" w:color="auto" w:fill="FFFFFF"/>
        </w:rPr>
        <w:t>52     (unintentional adj2 (interaction$ or response$ or effect$ or event$ or reaction$ or outcome$)).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(155)</w:t>
      </w:r>
      <w:r>
        <w:rPr>
          <w:rFonts w:ascii="Arial" w:hAnsi="Arial" w:cs="Arial"/>
          <w:color w:val="222222"/>
          <w:sz w:val="19"/>
          <w:szCs w:val="19"/>
        </w:rPr>
        <w:br/>
      </w:r>
      <w:r>
        <w:rPr>
          <w:rFonts w:ascii="Arial" w:hAnsi="Arial" w:cs="Arial"/>
          <w:color w:val="222222"/>
          <w:sz w:val="19"/>
          <w:szCs w:val="19"/>
          <w:shd w:val="clear" w:color="auto" w:fill="FFFFFF"/>
        </w:rPr>
        <w:t>53     (unwanted adj2 (interaction$ or response$ or effect$ or event$ or reaction$ or outcome$)).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(4430)</w:t>
      </w:r>
      <w:r>
        <w:rPr>
          <w:rFonts w:ascii="Arial" w:hAnsi="Arial" w:cs="Arial"/>
          <w:color w:val="222222"/>
          <w:sz w:val="19"/>
          <w:szCs w:val="19"/>
        </w:rPr>
        <w:br/>
      </w:r>
      <w:r>
        <w:rPr>
          <w:rFonts w:ascii="Arial" w:hAnsi="Arial" w:cs="Arial"/>
          <w:color w:val="222222"/>
          <w:sz w:val="19"/>
          <w:szCs w:val="19"/>
          <w:shd w:val="clear" w:color="auto" w:fill="FFFFFF"/>
        </w:rPr>
        <w:t>54     (unexpected adj2 (interaction$ or response$ or effect$ or event$ or reaction$ or outcome$)).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(4498)</w:t>
      </w:r>
      <w:r>
        <w:rPr>
          <w:rFonts w:ascii="Arial" w:hAnsi="Arial" w:cs="Arial"/>
          <w:color w:val="222222"/>
          <w:sz w:val="19"/>
          <w:szCs w:val="19"/>
        </w:rPr>
        <w:br/>
      </w:r>
      <w:r>
        <w:rPr>
          <w:rFonts w:ascii="Arial" w:hAnsi="Arial" w:cs="Arial"/>
          <w:color w:val="222222"/>
          <w:sz w:val="19"/>
          <w:szCs w:val="19"/>
          <w:shd w:val="clear" w:color="auto" w:fill="FFFFFF"/>
        </w:rPr>
        <w:t>55     (undesirable adj2 (interaction$ or response$ or effect$ or event$ or reaction$ or outcome$)).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(5938)</w:t>
      </w:r>
      <w:r>
        <w:rPr>
          <w:rFonts w:ascii="Arial" w:hAnsi="Arial" w:cs="Arial"/>
          <w:color w:val="222222"/>
          <w:sz w:val="19"/>
          <w:szCs w:val="19"/>
        </w:rPr>
        <w:br/>
      </w:r>
      <w:r>
        <w:rPr>
          <w:rFonts w:ascii="Arial" w:hAnsi="Arial" w:cs="Arial"/>
          <w:color w:val="222222"/>
          <w:sz w:val="19"/>
          <w:szCs w:val="19"/>
          <w:shd w:val="clear" w:color="auto" w:fill="FFFFFF"/>
        </w:rPr>
        <w:t>56     (serious adj2 (interaction$ or response$ or effect$ or event$ or reaction$ or outcome$)).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(26869)</w:t>
      </w:r>
      <w:r>
        <w:rPr>
          <w:rFonts w:ascii="Arial" w:hAnsi="Arial" w:cs="Arial"/>
          <w:color w:val="222222"/>
          <w:sz w:val="19"/>
          <w:szCs w:val="19"/>
        </w:rPr>
        <w:br/>
      </w:r>
      <w:r>
        <w:rPr>
          <w:rFonts w:ascii="Arial" w:hAnsi="Arial" w:cs="Arial"/>
          <w:color w:val="222222"/>
          <w:sz w:val="19"/>
          <w:szCs w:val="19"/>
          <w:shd w:val="clear" w:color="auto" w:fill="FFFFFF"/>
        </w:rPr>
        <w:t>57     (toxic adj2 (interaction$ or response$ or effect$ or event$ or reaction$ or outcome$)).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(42865)</w:t>
      </w:r>
      <w:r>
        <w:rPr>
          <w:rFonts w:ascii="Arial" w:hAnsi="Arial" w:cs="Arial"/>
          <w:color w:val="222222"/>
          <w:sz w:val="19"/>
          <w:szCs w:val="19"/>
        </w:rPr>
        <w:br/>
      </w:r>
      <w:r>
        <w:rPr>
          <w:rFonts w:ascii="Arial" w:hAnsi="Arial" w:cs="Arial"/>
          <w:color w:val="222222"/>
          <w:sz w:val="19"/>
          <w:szCs w:val="19"/>
          <w:shd w:val="clear" w:color="auto" w:fill="FFFFFF"/>
        </w:rPr>
        <w:t>58     (</w:t>
      </w:r>
      <w:proofErr w:type="spellStart"/>
      <w:r>
        <w:rPr>
          <w:rFonts w:ascii="Arial" w:hAnsi="Arial" w:cs="Arial"/>
          <w:color w:val="222222"/>
          <w:sz w:val="19"/>
          <w:szCs w:val="19"/>
          <w:shd w:val="clear" w:color="auto" w:fill="FFFFFF"/>
        </w:rPr>
        <w:t>adrs</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ades</w:t>
      </w:r>
      <w:proofErr w:type="spellEnd"/>
      <w:r>
        <w:rPr>
          <w:rFonts w:ascii="Arial" w:hAnsi="Arial" w:cs="Arial"/>
          <w:color w:val="222222"/>
          <w:sz w:val="19"/>
          <w:szCs w:val="19"/>
          <w:shd w:val="clear" w:color="auto" w:fill="FFFFFF"/>
        </w:rPr>
        <w:t>).</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(3055)</w:t>
      </w:r>
      <w:r>
        <w:rPr>
          <w:rFonts w:ascii="Arial" w:hAnsi="Arial" w:cs="Arial"/>
          <w:color w:val="222222"/>
          <w:sz w:val="19"/>
          <w:szCs w:val="19"/>
        </w:rPr>
        <w:br/>
      </w:r>
      <w:r>
        <w:rPr>
          <w:rFonts w:ascii="Arial" w:hAnsi="Arial" w:cs="Arial"/>
          <w:color w:val="222222"/>
          <w:sz w:val="19"/>
          <w:szCs w:val="19"/>
          <w:shd w:val="clear" w:color="auto" w:fill="FFFFFF"/>
        </w:rPr>
        <w:t xml:space="preserve">59     drug </w:t>
      </w:r>
      <w:proofErr w:type="spellStart"/>
      <w:r>
        <w:rPr>
          <w:rFonts w:ascii="Arial" w:hAnsi="Arial" w:cs="Arial"/>
          <w:color w:val="222222"/>
          <w:sz w:val="19"/>
          <w:szCs w:val="19"/>
          <w:shd w:val="clear" w:color="auto" w:fill="FFFFFF"/>
        </w:rPr>
        <w:t>safety.ti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(2906)</w:t>
      </w:r>
      <w:r>
        <w:rPr>
          <w:rFonts w:ascii="Arial" w:hAnsi="Arial" w:cs="Arial"/>
          <w:color w:val="222222"/>
          <w:sz w:val="19"/>
          <w:szCs w:val="19"/>
        </w:rPr>
        <w:br/>
      </w:r>
      <w:r>
        <w:rPr>
          <w:rFonts w:ascii="Arial" w:hAnsi="Arial" w:cs="Arial"/>
          <w:color w:val="222222"/>
          <w:sz w:val="19"/>
          <w:szCs w:val="19"/>
          <w:shd w:val="clear" w:color="auto" w:fill="FFFFFF"/>
        </w:rPr>
        <w:t>60     (drug surveillance or ((</w:t>
      </w:r>
      <w:proofErr w:type="spellStart"/>
      <w:r>
        <w:rPr>
          <w:rFonts w:ascii="Arial" w:hAnsi="Arial" w:cs="Arial"/>
          <w:color w:val="222222"/>
          <w:sz w:val="19"/>
          <w:szCs w:val="19"/>
          <w:shd w:val="clear" w:color="auto" w:fill="FFFFFF"/>
        </w:rPr>
        <w:t>postmarketing</w:t>
      </w:r>
      <w:proofErr w:type="spellEnd"/>
      <w:r>
        <w:rPr>
          <w:rFonts w:ascii="Arial" w:hAnsi="Arial" w:cs="Arial"/>
          <w:color w:val="222222"/>
          <w:sz w:val="19"/>
          <w:szCs w:val="19"/>
          <w:shd w:val="clear" w:color="auto" w:fill="FFFFFF"/>
        </w:rPr>
        <w:t xml:space="preserve"> or post marketing) adj2 surveillance)).</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(2448)</w:t>
      </w:r>
      <w:r>
        <w:rPr>
          <w:rFonts w:ascii="Arial" w:hAnsi="Arial" w:cs="Arial"/>
          <w:color w:val="222222"/>
          <w:sz w:val="19"/>
          <w:szCs w:val="19"/>
        </w:rPr>
        <w:br/>
      </w:r>
      <w:r>
        <w:rPr>
          <w:rFonts w:ascii="Arial" w:hAnsi="Arial" w:cs="Arial"/>
          <w:color w:val="222222"/>
          <w:sz w:val="19"/>
          <w:szCs w:val="19"/>
          <w:shd w:val="clear" w:color="auto" w:fill="FFFFFF"/>
        </w:rPr>
        <w:t xml:space="preserve">61     product </w:t>
      </w:r>
      <w:proofErr w:type="spellStart"/>
      <w:r>
        <w:rPr>
          <w:rFonts w:ascii="Arial" w:hAnsi="Arial" w:cs="Arial"/>
          <w:color w:val="222222"/>
          <w:sz w:val="19"/>
          <w:szCs w:val="19"/>
          <w:shd w:val="clear" w:color="auto" w:fill="FFFFFF"/>
        </w:rPr>
        <w:t>surveillance.ti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(29)</w:t>
      </w:r>
      <w:r>
        <w:rPr>
          <w:rFonts w:ascii="Arial" w:hAnsi="Arial" w:cs="Arial"/>
          <w:color w:val="222222"/>
          <w:sz w:val="19"/>
          <w:szCs w:val="19"/>
        </w:rPr>
        <w:br/>
      </w:r>
      <w:r>
        <w:rPr>
          <w:rFonts w:ascii="Arial" w:hAnsi="Arial" w:cs="Arial"/>
          <w:color w:val="222222"/>
          <w:sz w:val="19"/>
          <w:szCs w:val="19"/>
          <w:shd w:val="clear" w:color="auto" w:fill="FFFFFF"/>
        </w:rPr>
        <w:t xml:space="preserve">62     drug </w:t>
      </w:r>
      <w:proofErr w:type="spellStart"/>
      <w:r>
        <w:rPr>
          <w:rFonts w:ascii="Arial" w:hAnsi="Arial" w:cs="Arial"/>
          <w:color w:val="222222"/>
          <w:sz w:val="19"/>
          <w:szCs w:val="19"/>
          <w:shd w:val="clear" w:color="auto" w:fill="FFFFFF"/>
        </w:rPr>
        <w:t>monitoring.ti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(6052)</w:t>
      </w:r>
      <w:r>
        <w:rPr>
          <w:rFonts w:ascii="Arial" w:hAnsi="Arial" w:cs="Arial"/>
          <w:color w:val="222222"/>
          <w:sz w:val="19"/>
          <w:szCs w:val="19"/>
        </w:rPr>
        <w:br/>
      </w:r>
      <w:r>
        <w:rPr>
          <w:rFonts w:ascii="Arial" w:hAnsi="Arial" w:cs="Arial"/>
          <w:color w:val="222222"/>
          <w:sz w:val="19"/>
          <w:szCs w:val="19"/>
          <w:shd w:val="clear" w:color="auto" w:fill="FFFFFF"/>
        </w:rPr>
        <w:t>63     </w:t>
      </w:r>
      <w:proofErr w:type="spellStart"/>
      <w:r>
        <w:rPr>
          <w:rFonts w:ascii="Arial" w:hAnsi="Arial" w:cs="Arial"/>
          <w:color w:val="222222"/>
          <w:sz w:val="19"/>
          <w:szCs w:val="19"/>
          <w:shd w:val="clear" w:color="auto" w:fill="FFFFFF"/>
        </w:rPr>
        <w:t>tolerability.ti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(34536)</w:t>
      </w:r>
      <w:r>
        <w:rPr>
          <w:rFonts w:ascii="Arial" w:hAnsi="Arial" w:cs="Arial"/>
          <w:color w:val="222222"/>
          <w:sz w:val="19"/>
          <w:szCs w:val="19"/>
        </w:rPr>
        <w:br/>
      </w:r>
      <w:r>
        <w:rPr>
          <w:rFonts w:ascii="Arial" w:hAnsi="Arial" w:cs="Arial"/>
          <w:color w:val="222222"/>
          <w:sz w:val="19"/>
          <w:szCs w:val="19"/>
          <w:shd w:val="clear" w:color="auto" w:fill="FFFFFF"/>
        </w:rPr>
        <w:t>64     (harm or harms or harmful).</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(66861)</w:t>
      </w:r>
      <w:r>
        <w:rPr>
          <w:rFonts w:ascii="Arial" w:hAnsi="Arial" w:cs="Arial"/>
          <w:color w:val="222222"/>
          <w:sz w:val="19"/>
          <w:szCs w:val="19"/>
        </w:rPr>
        <w:br/>
      </w:r>
      <w:r>
        <w:rPr>
          <w:rFonts w:ascii="Arial" w:hAnsi="Arial" w:cs="Arial"/>
          <w:color w:val="222222"/>
          <w:sz w:val="19"/>
          <w:szCs w:val="19"/>
          <w:shd w:val="clear" w:color="auto" w:fill="FFFFFF"/>
        </w:rPr>
        <w:t xml:space="preserve">65     treatment </w:t>
      </w:r>
      <w:proofErr w:type="spellStart"/>
      <w:r>
        <w:rPr>
          <w:rFonts w:ascii="Arial" w:hAnsi="Arial" w:cs="Arial"/>
          <w:color w:val="222222"/>
          <w:sz w:val="19"/>
          <w:szCs w:val="19"/>
          <w:shd w:val="clear" w:color="auto" w:fill="FFFFFF"/>
        </w:rPr>
        <w:t>emergent.ti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(2307)</w:t>
      </w:r>
      <w:r>
        <w:rPr>
          <w:rFonts w:ascii="Arial" w:hAnsi="Arial" w:cs="Arial"/>
          <w:color w:val="222222"/>
          <w:sz w:val="19"/>
          <w:szCs w:val="19"/>
        </w:rPr>
        <w:br/>
      </w:r>
      <w:r>
        <w:rPr>
          <w:rFonts w:ascii="Arial" w:hAnsi="Arial" w:cs="Arial"/>
          <w:color w:val="222222"/>
          <w:sz w:val="19"/>
          <w:szCs w:val="19"/>
          <w:shd w:val="clear" w:color="auto" w:fill="FFFFFF"/>
        </w:rPr>
        <w:t xml:space="preserve">66     (iatrogenic or </w:t>
      </w:r>
      <w:proofErr w:type="spellStart"/>
      <w:r>
        <w:rPr>
          <w:rFonts w:ascii="Arial" w:hAnsi="Arial" w:cs="Arial"/>
          <w:color w:val="222222"/>
          <w:sz w:val="19"/>
          <w:szCs w:val="19"/>
          <w:shd w:val="clear" w:color="auto" w:fill="FFFFFF"/>
        </w:rPr>
        <w:t>iatrogenesis</w:t>
      </w:r>
      <w:proofErr w:type="spellEnd"/>
      <w:r>
        <w:rPr>
          <w:rFonts w:ascii="Arial" w:hAnsi="Arial" w:cs="Arial"/>
          <w:color w:val="222222"/>
          <w:sz w:val="19"/>
          <w:szCs w:val="19"/>
          <w:shd w:val="clear" w:color="auto" w:fill="FFFFFF"/>
        </w:rPr>
        <w:t>).</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(22654)</w:t>
      </w:r>
      <w:r>
        <w:rPr>
          <w:rFonts w:ascii="Arial" w:hAnsi="Arial" w:cs="Arial"/>
          <w:color w:val="222222"/>
          <w:sz w:val="19"/>
          <w:szCs w:val="19"/>
        </w:rPr>
        <w:br/>
      </w:r>
      <w:r>
        <w:rPr>
          <w:rFonts w:ascii="Arial" w:hAnsi="Arial" w:cs="Arial"/>
          <w:color w:val="222222"/>
          <w:sz w:val="19"/>
          <w:szCs w:val="19"/>
          <w:shd w:val="clear" w:color="auto" w:fill="FFFFFF"/>
        </w:rPr>
        <w:t>67     complication$.</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(641336)</w:t>
      </w:r>
      <w:r>
        <w:rPr>
          <w:rFonts w:ascii="Arial" w:hAnsi="Arial" w:cs="Arial"/>
          <w:color w:val="222222"/>
          <w:sz w:val="19"/>
          <w:szCs w:val="19"/>
        </w:rPr>
        <w:br/>
      </w:r>
      <w:r>
        <w:rPr>
          <w:rFonts w:ascii="Arial" w:hAnsi="Arial" w:cs="Arial"/>
          <w:color w:val="222222"/>
          <w:sz w:val="19"/>
          <w:szCs w:val="19"/>
          <w:shd w:val="clear" w:color="auto" w:fill="FFFFFF"/>
        </w:rPr>
        <w:t>68     </w:t>
      </w:r>
      <w:proofErr w:type="spellStart"/>
      <w:r>
        <w:rPr>
          <w:rFonts w:ascii="Arial" w:hAnsi="Arial" w:cs="Arial"/>
          <w:color w:val="222222"/>
          <w:sz w:val="19"/>
          <w:szCs w:val="19"/>
          <w:shd w:val="clear" w:color="auto" w:fill="FFFFFF"/>
        </w:rPr>
        <w:t>toxicity.ti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(267980)</w:t>
      </w:r>
      <w:r>
        <w:rPr>
          <w:rFonts w:ascii="Arial" w:hAnsi="Arial" w:cs="Arial"/>
          <w:color w:val="222222"/>
          <w:sz w:val="19"/>
          <w:szCs w:val="19"/>
        </w:rPr>
        <w:br/>
      </w:r>
      <w:r>
        <w:rPr>
          <w:rFonts w:ascii="Arial" w:hAnsi="Arial" w:cs="Arial"/>
          <w:color w:val="222222"/>
          <w:sz w:val="19"/>
          <w:szCs w:val="19"/>
          <w:shd w:val="clear" w:color="auto" w:fill="FFFFFF"/>
        </w:rPr>
        <w:t>69     </w:t>
      </w:r>
      <w:proofErr w:type="spellStart"/>
      <w:r>
        <w:rPr>
          <w:rFonts w:ascii="Arial" w:hAnsi="Arial" w:cs="Arial"/>
          <w:color w:val="222222"/>
          <w:sz w:val="19"/>
          <w:szCs w:val="19"/>
          <w:shd w:val="clear" w:color="auto" w:fill="FFFFFF"/>
        </w:rPr>
        <w:t>pharmacovigilance.ti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(2559)</w:t>
      </w:r>
      <w:r>
        <w:rPr>
          <w:rFonts w:ascii="Arial" w:hAnsi="Arial" w:cs="Arial"/>
          <w:color w:val="222222"/>
          <w:sz w:val="19"/>
          <w:szCs w:val="19"/>
        </w:rPr>
        <w:br/>
      </w:r>
      <w:r>
        <w:rPr>
          <w:rFonts w:ascii="Arial" w:hAnsi="Arial" w:cs="Arial"/>
          <w:color w:val="222222"/>
          <w:sz w:val="19"/>
          <w:szCs w:val="19"/>
          <w:shd w:val="clear" w:color="auto" w:fill="FFFFFF"/>
        </w:rPr>
        <w:t>70     drug withdrawal*.</w:t>
      </w:r>
      <w:proofErr w:type="spellStart"/>
      <w:r>
        <w:rPr>
          <w:rFonts w:ascii="Arial" w:hAnsi="Arial" w:cs="Arial"/>
          <w:color w:val="222222"/>
          <w:sz w:val="19"/>
          <w:szCs w:val="19"/>
          <w:shd w:val="clear" w:color="auto" w:fill="FFFFFF"/>
        </w:rPr>
        <w:t>ti</w:t>
      </w:r>
      <w:proofErr w:type="gramStart"/>
      <w:r>
        <w:rPr>
          <w:rFonts w:ascii="Arial" w:hAnsi="Arial" w:cs="Arial"/>
          <w:color w:val="222222"/>
          <w:sz w:val="19"/>
          <w:szCs w:val="19"/>
          <w:shd w:val="clear" w:color="auto" w:fill="FFFFFF"/>
        </w:rPr>
        <w:t>,ab,kw</w:t>
      </w:r>
      <w:proofErr w:type="spellEnd"/>
      <w:proofErr w:type="gramEnd"/>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(2987)</w:t>
      </w:r>
      <w:r>
        <w:rPr>
          <w:rFonts w:ascii="Arial" w:hAnsi="Arial" w:cs="Arial"/>
          <w:color w:val="222222"/>
          <w:sz w:val="19"/>
          <w:szCs w:val="19"/>
        </w:rPr>
        <w:br/>
      </w:r>
      <w:r>
        <w:rPr>
          <w:rFonts w:ascii="Arial" w:hAnsi="Arial" w:cs="Arial"/>
          <w:color w:val="222222"/>
          <w:sz w:val="19"/>
          <w:szCs w:val="19"/>
          <w:shd w:val="clear" w:color="auto" w:fill="FFFFFF"/>
        </w:rPr>
        <w:t>71     </w:t>
      </w:r>
      <w:proofErr w:type="spellStart"/>
      <w:r>
        <w:rPr>
          <w:rFonts w:ascii="Arial" w:hAnsi="Arial" w:cs="Arial"/>
          <w:color w:val="222222"/>
          <w:sz w:val="19"/>
          <w:szCs w:val="19"/>
          <w:shd w:val="clear" w:color="auto" w:fill="FFFFFF"/>
        </w:rPr>
        <w:t>ae.fs</w:t>
      </w:r>
      <w:proofErr w:type="spellEnd"/>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(1400645)</w:t>
      </w:r>
      <w:r>
        <w:rPr>
          <w:rFonts w:ascii="Arial" w:hAnsi="Arial" w:cs="Arial"/>
          <w:color w:val="222222"/>
          <w:sz w:val="19"/>
          <w:szCs w:val="19"/>
        </w:rPr>
        <w:br/>
      </w:r>
      <w:r>
        <w:rPr>
          <w:rFonts w:ascii="Arial" w:hAnsi="Arial" w:cs="Arial"/>
          <w:color w:val="222222"/>
          <w:sz w:val="19"/>
          <w:szCs w:val="19"/>
          <w:shd w:val="clear" w:color="auto" w:fill="FFFFFF"/>
        </w:rPr>
        <w:t>72     </w:t>
      </w:r>
      <w:proofErr w:type="spellStart"/>
      <w:r>
        <w:rPr>
          <w:rFonts w:ascii="Arial" w:hAnsi="Arial" w:cs="Arial"/>
          <w:color w:val="222222"/>
          <w:sz w:val="19"/>
          <w:szCs w:val="19"/>
          <w:shd w:val="clear" w:color="auto" w:fill="FFFFFF"/>
        </w:rPr>
        <w:t>to.fs</w:t>
      </w:r>
      <w:proofErr w:type="spellEnd"/>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(338566)</w:t>
      </w:r>
      <w:r>
        <w:rPr>
          <w:rFonts w:ascii="Arial" w:hAnsi="Arial" w:cs="Arial"/>
          <w:color w:val="222222"/>
          <w:sz w:val="19"/>
          <w:szCs w:val="19"/>
        </w:rPr>
        <w:br/>
      </w:r>
      <w:r>
        <w:rPr>
          <w:rFonts w:ascii="Arial" w:hAnsi="Arial" w:cs="Arial"/>
          <w:color w:val="222222"/>
          <w:sz w:val="19"/>
          <w:szCs w:val="19"/>
          <w:shd w:val="clear" w:color="auto" w:fill="FFFFFF"/>
        </w:rPr>
        <w:t>73     </w:t>
      </w:r>
      <w:proofErr w:type="spellStart"/>
      <w:r>
        <w:rPr>
          <w:rFonts w:ascii="Arial" w:hAnsi="Arial" w:cs="Arial"/>
          <w:color w:val="222222"/>
          <w:sz w:val="19"/>
          <w:szCs w:val="19"/>
          <w:shd w:val="clear" w:color="auto" w:fill="FFFFFF"/>
        </w:rPr>
        <w:t>co.fs</w:t>
      </w:r>
      <w:proofErr w:type="spellEnd"/>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 xml:space="preserve"> (1648100)</w:t>
      </w:r>
      <w:r>
        <w:rPr>
          <w:rFonts w:ascii="Arial" w:hAnsi="Arial" w:cs="Arial"/>
          <w:color w:val="222222"/>
          <w:sz w:val="19"/>
          <w:szCs w:val="19"/>
        </w:rPr>
        <w:br/>
      </w:r>
      <w:r>
        <w:rPr>
          <w:rFonts w:ascii="Arial" w:hAnsi="Arial" w:cs="Arial"/>
          <w:color w:val="222222"/>
          <w:sz w:val="19"/>
          <w:szCs w:val="19"/>
          <w:shd w:val="clear" w:color="auto" w:fill="FFFFFF"/>
        </w:rPr>
        <w:t xml:space="preserve">74     Product Surveillance, </w:t>
      </w:r>
      <w:proofErr w:type="spellStart"/>
      <w:r>
        <w:rPr>
          <w:rFonts w:ascii="Arial" w:hAnsi="Arial" w:cs="Arial"/>
          <w:color w:val="222222"/>
          <w:sz w:val="19"/>
          <w:szCs w:val="19"/>
          <w:shd w:val="clear" w:color="auto" w:fill="FFFFFF"/>
        </w:rPr>
        <w:t>Postmarketing</w:t>
      </w:r>
      <w:proofErr w:type="spellEnd"/>
      <w:r>
        <w:rPr>
          <w:rFonts w:ascii="Arial" w:hAnsi="Arial" w:cs="Arial"/>
          <w:color w:val="222222"/>
          <w:sz w:val="19"/>
          <w:szCs w:val="19"/>
          <w:shd w:val="clear" w:color="auto" w:fill="FFFFFF"/>
        </w:rPr>
        <w:t>/ (5845)</w:t>
      </w:r>
      <w:r>
        <w:rPr>
          <w:rFonts w:ascii="Arial" w:hAnsi="Arial" w:cs="Arial"/>
          <w:color w:val="222222"/>
          <w:sz w:val="19"/>
          <w:szCs w:val="19"/>
        </w:rPr>
        <w:br/>
      </w:r>
      <w:r>
        <w:rPr>
          <w:rFonts w:ascii="Arial" w:hAnsi="Arial" w:cs="Arial"/>
          <w:color w:val="222222"/>
          <w:sz w:val="19"/>
          <w:szCs w:val="19"/>
          <w:shd w:val="clear" w:color="auto" w:fill="FFFFFF"/>
        </w:rPr>
        <w:t>75     Adverse Drug Reaction Reporting Systems/ (5858)</w:t>
      </w:r>
      <w:r>
        <w:rPr>
          <w:rFonts w:ascii="Arial" w:hAnsi="Arial" w:cs="Arial"/>
          <w:color w:val="222222"/>
          <w:sz w:val="19"/>
          <w:szCs w:val="19"/>
        </w:rPr>
        <w:br/>
      </w:r>
      <w:r>
        <w:rPr>
          <w:rFonts w:ascii="Arial" w:hAnsi="Arial" w:cs="Arial"/>
          <w:color w:val="222222"/>
          <w:sz w:val="19"/>
          <w:szCs w:val="19"/>
          <w:shd w:val="clear" w:color="auto" w:fill="FFFFFF"/>
        </w:rPr>
        <w:t>76     pharmacovigilance/ (709)</w:t>
      </w:r>
      <w:r>
        <w:rPr>
          <w:rFonts w:ascii="Arial" w:hAnsi="Arial" w:cs="Arial"/>
          <w:color w:val="222222"/>
          <w:sz w:val="19"/>
          <w:szCs w:val="19"/>
        </w:rPr>
        <w:br/>
      </w:r>
      <w:r>
        <w:rPr>
          <w:rFonts w:ascii="Arial" w:hAnsi="Arial" w:cs="Arial"/>
          <w:color w:val="222222"/>
          <w:sz w:val="19"/>
          <w:szCs w:val="19"/>
          <w:shd w:val="clear" w:color="auto" w:fill="FFFFFF"/>
        </w:rPr>
        <w:t>77     Drug Monitoring/ (15018)</w:t>
      </w:r>
      <w:r>
        <w:rPr>
          <w:rFonts w:ascii="Arial" w:hAnsi="Arial" w:cs="Arial"/>
          <w:color w:val="222222"/>
          <w:sz w:val="19"/>
          <w:szCs w:val="19"/>
        </w:rPr>
        <w:br/>
      </w:r>
      <w:r>
        <w:rPr>
          <w:rFonts w:ascii="Arial" w:hAnsi="Arial" w:cs="Arial"/>
          <w:color w:val="222222"/>
          <w:sz w:val="19"/>
          <w:szCs w:val="19"/>
          <w:shd w:val="clear" w:color="auto" w:fill="FFFFFF"/>
        </w:rPr>
        <w:t>78     </w:t>
      </w:r>
      <w:proofErr w:type="spellStart"/>
      <w:r>
        <w:rPr>
          <w:rFonts w:ascii="Arial" w:hAnsi="Arial" w:cs="Arial"/>
          <w:color w:val="222222"/>
          <w:sz w:val="19"/>
          <w:szCs w:val="19"/>
          <w:shd w:val="clear" w:color="auto" w:fill="FFFFFF"/>
        </w:rPr>
        <w:t>exp</w:t>
      </w:r>
      <w:proofErr w:type="spellEnd"/>
      <w:r>
        <w:rPr>
          <w:rFonts w:ascii="Arial" w:hAnsi="Arial" w:cs="Arial"/>
          <w:color w:val="222222"/>
          <w:sz w:val="19"/>
          <w:szCs w:val="19"/>
          <w:shd w:val="clear" w:color="auto" w:fill="FFFFFF"/>
        </w:rPr>
        <w:t xml:space="preserve"> Drug Hypersensitivity/ (38850)</w:t>
      </w:r>
      <w:r>
        <w:rPr>
          <w:rFonts w:ascii="Arial" w:hAnsi="Arial" w:cs="Arial"/>
          <w:color w:val="222222"/>
          <w:sz w:val="19"/>
          <w:szCs w:val="19"/>
        </w:rPr>
        <w:br/>
      </w:r>
      <w:r>
        <w:rPr>
          <w:rFonts w:ascii="Arial" w:hAnsi="Arial" w:cs="Arial"/>
          <w:color w:val="222222"/>
          <w:sz w:val="19"/>
          <w:szCs w:val="19"/>
          <w:shd w:val="clear" w:color="auto" w:fill="FFFFFF"/>
        </w:rPr>
        <w:t>79     Iatrogenic Disease/ (13264)</w:t>
      </w:r>
      <w:r>
        <w:rPr>
          <w:rFonts w:ascii="Arial" w:hAnsi="Arial" w:cs="Arial"/>
          <w:color w:val="222222"/>
          <w:sz w:val="19"/>
          <w:szCs w:val="19"/>
        </w:rPr>
        <w:br/>
      </w:r>
      <w:r>
        <w:rPr>
          <w:rFonts w:ascii="Arial" w:hAnsi="Arial" w:cs="Arial"/>
          <w:color w:val="222222"/>
          <w:sz w:val="19"/>
          <w:szCs w:val="19"/>
          <w:shd w:val="clear" w:color="auto" w:fill="FFFFFF"/>
        </w:rPr>
        <w:t>80     </w:t>
      </w:r>
      <w:proofErr w:type="spellStart"/>
      <w:r>
        <w:rPr>
          <w:rFonts w:ascii="Arial" w:hAnsi="Arial" w:cs="Arial"/>
          <w:color w:val="222222"/>
          <w:sz w:val="19"/>
          <w:szCs w:val="19"/>
          <w:shd w:val="clear" w:color="auto" w:fill="FFFFFF"/>
        </w:rPr>
        <w:t>exp</w:t>
      </w:r>
      <w:proofErr w:type="spellEnd"/>
      <w:r>
        <w:rPr>
          <w:rFonts w:ascii="Arial" w:hAnsi="Arial" w:cs="Arial"/>
          <w:color w:val="222222"/>
          <w:sz w:val="19"/>
          <w:szCs w:val="19"/>
          <w:shd w:val="clear" w:color="auto" w:fill="FFFFFF"/>
        </w:rPr>
        <w:t xml:space="preserve"> "Drug-Related Side Effects and Adverse Reactions"/ (90916)</w:t>
      </w:r>
      <w:r>
        <w:rPr>
          <w:rFonts w:ascii="Arial" w:hAnsi="Arial" w:cs="Arial"/>
          <w:color w:val="222222"/>
          <w:sz w:val="19"/>
          <w:szCs w:val="19"/>
        </w:rPr>
        <w:br/>
      </w:r>
      <w:r>
        <w:rPr>
          <w:rFonts w:ascii="Arial" w:hAnsi="Arial" w:cs="Arial"/>
          <w:color w:val="222222"/>
          <w:sz w:val="19"/>
          <w:szCs w:val="19"/>
          <w:shd w:val="clear" w:color="auto" w:fill="FFFFFF"/>
        </w:rPr>
        <w:t>81     Abnormalities, Drug-Induced/ (13900)</w:t>
      </w:r>
      <w:r>
        <w:rPr>
          <w:rFonts w:ascii="Arial" w:hAnsi="Arial" w:cs="Arial"/>
          <w:color w:val="222222"/>
          <w:sz w:val="19"/>
          <w:szCs w:val="19"/>
        </w:rPr>
        <w:br/>
      </w:r>
      <w:r>
        <w:rPr>
          <w:rFonts w:ascii="Arial" w:hAnsi="Arial" w:cs="Arial"/>
          <w:color w:val="222222"/>
          <w:sz w:val="19"/>
          <w:szCs w:val="19"/>
          <w:shd w:val="clear" w:color="auto" w:fill="FFFFFF"/>
        </w:rPr>
        <w:t>82     </w:t>
      </w:r>
      <w:proofErr w:type="spellStart"/>
      <w:r>
        <w:rPr>
          <w:rFonts w:ascii="Arial" w:hAnsi="Arial" w:cs="Arial"/>
          <w:color w:val="222222"/>
          <w:sz w:val="19"/>
          <w:szCs w:val="19"/>
          <w:shd w:val="clear" w:color="auto" w:fill="FFFFFF"/>
        </w:rPr>
        <w:t>exp</w:t>
      </w:r>
      <w:proofErr w:type="spellEnd"/>
      <w:r>
        <w:rPr>
          <w:rFonts w:ascii="Arial" w:hAnsi="Arial" w:cs="Arial"/>
          <w:color w:val="222222"/>
          <w:sz w:val="19"/>
          <w:szCs w:val="19"/>
          <w:shd w:val="clear" w:color="auto" w:fill="FFFFFF"/>
        </w:rPr>
        <w:t xml:space="preserve"> Postoperative Complications/ (432552)</w:t>
      </w:r>
      <w:r>
        <w:rPr>
          <w:rFonts w:ascii="Arial" w:hAnsi="Arial" w:cs="Arial"/>
          <w:color w:val="222222"/>
          <w:sz w:val="19"/>
          <w:szCs w:val="19"/>
        </w:rPr>
        <w:br/>
      </w:r>
      <w:r>
        <w:rPr>
          <w:rFonts w:ascii="Arial" w:hAnsi="Arial" w:cs="Arial"/>
          <w:color w:val="222222"/>
          <w:sz w:val="19"/>
          <w:szCs w:val="19"/>
          <w:shd w:val="clear" w:color="auto" w:fill="FFFFFF"/>
        </w:rPr>
        <w:t>83     </w:t>
      </w:r>
      <w:proofErr w:type="spellStart"/>
      <w:r>
        <w:rPr>
          <w:rFonts w:ascii="Arial" w:hAnsi="Arial" w:cs="Arial"/>
          <w:color w:val="222222"/>
          <w:sz w:val="19"/>
          <w:szCs w:val="19"/>
          <w:shd w:val="clear" w:color="auto" w:fill="FFFFFF"/>
        </w:rPr>
        <w:t>exp</w:t>
      </w:r>
      <w:proofErr w:type="spellEnd"/>
      <w:r>
        <w:rPr>
          <w:rFonts w:ascii="Arial" w:hAnsi="Arial" w:cs="Arial"/>
          <w:color w:val="222222"/>
          <w:sz w:val="19"/>
          <w:szCs w:val="19"/>
          <w:shd w:val="clear" w:color="auto" w:fill="FFFFFF"/>
        </w:rPr>
        <w:t xml:space="preserve"> Intraoperative Complications/ (41637)</w:t>
      </w:r>
      <w:r>
        <w:rPr>
          <w:rFonts w:ascii="Arial" w:hAnsi="Arial" w:cs="Arial"/>
          <w:color w:val="222222"/>
          <w:sz w:val="19"/>
          <w:szCs w:val="19"/>
        </w:rPr>
        <w:br/>
      </w:r>
      <w:r>
        <w:rPr>
          <w:rFonts w:ascii="Arial" w:hAnsi="Arial" w:cs="Arial"/>
          <w:color w:val="222222"/>
          <w:sz w:val="19"/>
          <w:szCs w:val="19"/>
          <w:shd w:val="clear" w:color="auto" w:fill="FFFFFF"/>
        </w:rPr>
        <w:t>84     Safety-Based Drug Withdrawals/ (270)</w:t>
      </w:r>
      <w:r>
        <w:rPr>
          <w:rFonts w:ascii="Arial" w:hAnsi="Arial" w:cs="Arial"/>
          <w:color w:val="222222"/>
          <w:sz w:val="19"/>
          <w:szCs w:val="19"/>
        </w:rPr>
        <w:br/>
      </w:r>
      <w:r>
        <w:rPr>
          <w:rFonts w:ascii="Arial" w:hAnsi="Arial" w:cs="Arial"/>
          <w:color w:val="222222"/>
          <w:sz w:val="19"/>
          <w:szCs w:val="19"/>
          <w:shd w:val="clear" w:color="auto" w:fill="FFFFFF"/>
        </w:rPr>
        <w:t>85     or/49-84 (4218996)</w:t>
      </w:r>
      <w:r>
        <w:rPr>
          <w:rFonts w:ascii="Arial" w:hAnsi="Arial" w:cs="Arial"/>
          <w:color w:val="222222"/>
          <w:sz w:val="19"/>
          <w:szCs w:val="19"/>
        </w:rPr>
        <w:br/>
      </w:r>
      <w:r>
        <w:rPr>
          <w:rFonts w:ascii="Arial" w:hAnsi="Arial" w:cs="Arial"/>
          <w:color w:val="222222"/>
          <w:sz w:val="19"/>
          <w:szCs w:val="19"/>
          <w:shd w:val="clear" w:color="auto" w:fill="FFFFFF"/>
        </w:rPr>
        <w:t>86     48 and 85 (2387)</w:t>
      </w:r>
      <w:r>
        <w:rPr>
          <w:rFonts w:ascii="Arial" w:hAnsi="Arial" w:cs="Arial"/>
          <w:color w:val="222222"/>
          <w:sz w:val="19"/>
          <w:szCs w:val="19"/>
        </w:rPr>
        <w:br/>
      </w:r>
      <w:r>
        <w:rPr>
          <w:rFonts w:ascii="Arial" w:hAnsi="Arial" w:cs="Arial"/>
          <w:color w:val="222222"/>
          <w:sz w:val="19"/>
          <w:szCs w:val="19"/>
          <w:shd w:val="clear" w:color="auto" w:fill="FFFFFF"/>
        </w:rPr>
        <w:t>87     (2009* or 2010* or 2011* or 2012* or 2013* or 2014* or 2015*).ed. (6034905)</w:t>
      </w:r>
      <w:r>
        <w:rPr>
          <w:rFonts w:ascii="Arial" w:hAnsi="Arial" w:cs="Arial"/>
          <w:color w:val="222222"/>
          <w:sz w:val="19"/>
          <w:szCs w:val="19"/>
        </w:rPr>
        <w:br/>
      </w:r>
      <w:r>
        <w:rPr>
          <w:rFonts w:ascii="Arial" w:hAnsi="Arial" w:cs="Arial"/>
          <w:color w:val="222222"/>
          <w:sz w:val="19"/>
          <w:szCs w:val="19"/>
          <w:shd w:val="clear" w:color="auto" w:fill="FFFFFF"/>
        </w:rPr>
        <w:t>88     86 and 87 (1152)</w:t>
      </w:r>
    </w:p>
    <w:p w:rsidR="000A385B" w:rsidRDefault="000A385B" w:rsidP="000A385B">
      <w:pPr>
        <w:pStyle w:val="Heading4"/>
      </w:pPr>
      <w:r>
        <w:t>Data extraction</w:t>
      </w:r>
    </w:p>
    <w:p w:rsidR="000A385B" w:rsidRDefault="000A385B" w:rsidP="000A385B">
      <w:r>
        <w:t xml:space="preserve">Information will be collected on the interventions and adverse effects studied, the sources of published and unpublished data, and the outcome measures (such as effect size or number of cases) used to compare the information on adverse effects from studies with differing </w:t>
      </w:r>
      <w:r>
        <w:lastRenderedPageBreak/>
        <w:t xml:space="preserve">publication status. </w:t>
      </w:r>
    </w:p>
    <w:p w:rsidR="000A385B" w:rsidRDefault="000A385B" w:rsidP="000A385B"/>
    <w:p w:rsidR="000A385B" w:rsidRDefault="000A385B" w:rsidP="000A385B">
      <w:pPr>
        <w:pStyle w:val="Heading4"/>
      </w:pPr>
      <w:r>
        <w:t>Assessment of methodological quality</w:t>
      </w:r>
    </w:p>
    <w:p w:rsidR="000A385B" w:rsidRDefault="000A385B" w:rsidP="000A385B">
      <w:r>
        <w:t>The following criteria will be used to assess the quality of the included evaluations;</w:t>
      </w:r>
    </w:p>
    <w:p w:rsidR="001A49C1" w:rsidRPr="001A49C1" w:rsidRDefault="001A49C1" w:rsidP="001A49C1">
      <w:pPr>
        <w:pStyle w:val="ListParagraph"/>
        <w:numPr>
          <w:ilvl w:val="0"/>
          <w:numId w:val="4"/>
        </w:numPr>
        <w:rPr>
          <w:rFonts w:eastAsia="Times New Roman"/>
          <w:color w:val="222222"/>
        </w:rPr>
      </w:pPr>
      <w:r w:rsidRPr="001A49C1">
        <w:rPr>
          <w:rFonts w:eastAsia="Times New Roman"/>
        </w:rPr>
        <w:t>Adequacy of search to identify unpublished and published versions: For instance, were at least two databases searched for the published versions? Incomplete searches will either give the impression of fewer published or unpublished sources in existence.</w:t>
      </w:r>
    </w:p>
    <w:p w:rsidR="001A49C1" w:rsidRPr="001A49C1" w:rsidRDefault="001A49C1" w:rsidP="001A49C1">
      <w:pPr>
        <w:pStyle w:val="ListParagraph"/>
        <w:numPr>
          <w:ilvl w:val="0"/>
          <w:numId w:val="4"/>
        </w:numPr>
        <w:rPr>
          <w:rFonts w:eastAsia="Times New Roman"/>
          <w:color w:val="222222"/>
        </w:rPr>
      </w:pPr>
      <w:r w:rsidRPr="001A49C1">
        <w:rPr>
          <w:rFonts w:eastAsia="Times New Roman"/>
        </w:rPr>
        <w:t>Blinding: Was there any attempt to blind the data extractor to which version was published or unpublished?</w:t>
      </w:r>
    </w:p>
    <w:p w:rsidR="001A49C1" w:rsidRPr="001A49C1" w:rsidRDefault="001A49C1" w:rsidP="001A49C1">
      <w:pPr>
        <w:pStyle w:val="ListParagraph"/>
        <w:numPr>
          <w:ilvl w:val="0"/>
          <w:numId w:val="4"/>
        </w:numPr>
        <w:rPr>
          <w:rFonts w:eastAsia="Times New Roman"/>
          <w:color w:val="222222"/>
        </w:rPr>
      </w:pPr>
      <w:r w:rsidRPr="001A49C1">
        <w:rPr>
          <w:rFonts w:eastAsia="Times New Roman"/>
        </w:rPr>
        <w:t>Data extraction: Was the data extraction checked or independently conducted when comparing adverse events between the different sources?</w:t>
      </w:r>
    </w:p>
    <w:p w:rsidR="000A385B" w:rsidRPr="001A49C1" w:rsidRDefault="000A385B" w:rsidP="001A49C1">
      <w:pPr>
        <w:pStyle w:val="ListParagraph"/>
        <w:numPr>
          <w:ilvl w:val="0"/>
          <w:numId w:val="4"/>
        </w:numPr>
        <w:rPr>
          <w:b/>
          <w:bCs/>
        </w:rPr>
      </w:pPr>
      <w:r>
        <w:t xml:space="preserve">Definition of publication status: Were explicit criteria used to </w:t>
      </w:r>
      <w:proofErr w:type="spellStart"/>
      <w:r>
        <w:t>categorise</w:t>
      </w:r>
      <w:proofErr w:type="spellEnd"/>
      <w:r>
        <w:t xml:space="preserve"> or define unpublished studies, and how did the investigators verify that a particular dataset was genuinely unpublished? For example, unpublished data may consist of information obtained from the manufacturers or regulatory agencies. Conversely, a broader definition of ‘grey literature’ may include information from websites, dissertations, policy documents, research reports, and conference abstracts.</w:t>
      </w:r>
    </w:p>
    <w:p w:rsidR="00355E35" w:rsidRPr="00355E35" w:rsidRDefault="000A385B" w:rsidP="00355E35">
      <w:pPr>
        <w:pStyle w:val="ListParagraph"/>
        <w:numPr>
          <w:ilvl w:val="0"/>
          <w:numId w:val="4"/>
        </w:numPr>
        <w:rPr>
          <w:b/>
          <w:bCs/>
        </w:rPr>
      </w:pPr>
      <w:r>
        <w:t>External Validity and Representativeness: Did the researchers select a broad-ranging sample of studies (in terms of size, diversity of topics and spectrum of adverse effects) which were reasonably reflective of current literature?</w:t>
      </w:r>
    </w:p>
    <w:p w:rsidR="001A49C1" w:rsidRPr="00355E35" w:rsidRDefault="001A49C1" w:rsidP="00355E35">
      <w:pPr>
        <w:pStyle w:val="ListParagraph"/>
        <w:numPr>
          <w:ilvl w:val="0"/>
          <w:numId w:val="4"/>
        </w:numPr>
        <w:rPr>
          <w:b/>
          <w:bCs/>
        </w:rPr>
      </w:pPr>
      <w:r w:rsidRPr="007C2C30">
        <w:t>Confounding factors in relation to publication status: The results in published sources may differ from those of unpublished sources due to factors other than publication status, such as methodological quality, study design, type of participant, and type of intervention. For instance, did the groups of studies being compared share similar features, other than the difference in publication status? Did the unpublished sources have similar aims, designs and sample sizes as the published ones? If not, were suitable adjustments made for potentially confounding factors?</w:t>
      </w:r>
    </w:p>
    <w:p w:rsidR="000A385B" w:rsidRDefault="000A385B" w:rsidP="000A385B">
      <w:pPr>
        <w:pStyle w:val="Heading4"/>
      </w:pPr>
      <w:bookmarkStart w:id="0" w:name="_Toc355251121"/>
      <w:r>
        <w:t>Analysis</w:t>
      </w:r>
      <w:bookmarkEnd w:id="0"/>
    </w:p>
    <w:p w:rsidR="000A385B" w:rsidRDefault="000A385B" w:rsidP="000A385B">
      <w:r>
        <w:t>For methodological evaluations that measured incidence rates or number of cases of adverse effects only a descriptive comparison will be presented. The proportion of data only available in unpublished format will be expressed as a proportion of all the data available (in terms of numbers of studies, number of patients and numbers of adverse effects).</w:t>
      </w:r>
    </w:p>
    <w:p w:rsidR="000A385B" w:rsidRDefault="000A385B" w:rsidP="000A385B"/>
    <w:p w:rsidR="000A385B" w:rsidRDefault="000A385B" w:rsidP="000A385B">
      <w:r>
        <w:t xml:space="preserve">If the reviews present risk ratios or odds ratio, a comparison of the magnitude of treatment effect will be sought from unpublished studies versus that of published studies. A forest plot will be presented of the unpublished and published studies. The number of agreements and disagreements in terms of overlapping confidence intervals will be calculated. </w:t>
      </w:r>
    </w:p>
    <w:p w:rsidR="000A385B" w:rsidRDefault="000A385B" w:rsidP="000A385B"/>
    <w:p w:rsidR="000A385B" w:rsidRDefault="000A385B" w:rsidP="000A385B">
      <w:pPr>
        <w:pStyle w:val="Heading4"/>
      </w:pPr>
      <w:r>
        <w:t>References</w:t>
      </w:r>
    </w:p>
    <w:p w:rsidR="000A385B" w:rsidRDefault="000A385B" w:rsidP="000A385B">
      <w:pPr>
        <w:pStyle w:val="ListParagraph"/>
        <w:numPr>
          <w:ilvl w:val="0"/>
          <w:numId w:val="2"/>
        </w:numPr>
        <w:rPr>
          <w:lang w:val="en-GB"/>
        </w:rPr>
      </w:pPr>
      <w:r>
        <w:rPr>
          <w:lang w:val="en-GB"/>
        </w:rPr>
        <w:t xml:space="preserve">Chou R, </w:t>
      </w:r>
      <w:proofErr w:type="spellStart"/>
      <w:r>
        <w:rPr>
          <w:lang w:val="en-GB"/>
        </w:rPr>
        <w:t>Aronsonb</w:t>
      </w:r>
      <w:proofErr w:type="spellEnd"/>
      <w:r>
        <w:rPr>
          <w:lang w:val="en-GB"/>
        </w:rPr>
        <w:t xml:space="preserve"> N, </w:t>
      </w:r>
      <w:proofErr w:type="spellStart"/>
      <w:r>
        <w:rPr>
          <w:lang w:val="en-GB"/>
        </w:rPr>
        <w:t>Atkinsc</w:t>
      </w:r>
      <w:proofErr w:type="spellEnd"/>
      <w:r>
        <w:rPr>
          <w:lang w:val="en-GB"/>
        </w:rPr>
        <w:t xml:space="preserve"> D, </w:t>
      </w:r>
      <w:proofErr w:type="spellStart"/>
      <w:r>
        <w:rPr>
          <w:lang w:val="en-GB"/>
        </w:rPr>
        <w:t>Ismailad</w:t>
      </w:r>
      <w:proofErr w:type="spellEnd"/>
      <w:r>
        <w:rPr>
          <w:lang w:val="en-GB"/>
        </w:rPr>
        <w:t xml:space="preserve"> AS, </w:t>
      </w:r>
      <w:proofErr w:type="spellStart"/>
      <w:r>
        <w:rPr>
          <w:lang w:val="en-GB"/>
        </w:rPr>
        <w:t>Santaguidad</w:t>
      </w:r>
      <w:proofErr w:type="spellEnd"/>
      <w:r>
        <w:rPr>
          <w:lang w:val="en-GB"/>
        </w:rPr>
        <w:t xml:space="preserve"> P, Smith DH, et al. AHRQ Series Paper 4: Assessing harms when comparing medical interventions: AHRQ and the Effective Health-Care Program </w:t>
      </w:r>
      <w:r>
        <w:rPr>
          <w:i/>
          <w:iCs/>
          <w:lang w:val="en-GB"/>
        </w:rPr>
        <w:t xml:space="preserve">J </w:t>
      </w:r>
      <w:proofErr w:type="spellStart"/>
      <w:r>
        <w:rPr>
          <w:i/>
          <w:iCs/>
          <w:lang w:val="en-GB"/>
        </w:rPr>
        <w:t>Clin</w:t>
      </w:r>
      <w:proofErr w:type="spellEnd"/>
      <w:r>
        <w:rPr>
          <w:i/>
          <w:iCs/>
          <w:lang w:val="en-GB"/>
        </w:rPr>
        <w:t xml:space="preserve"> </w:t>
      </w:r>
      <w:proofErr w:type="spellStart"/>
      <w:r>
        <w:rPr>
          <w:i/>
          <w:iCs/>
          <w:lang w:val="en-GB"/>
        </w:rPr>
        <w:t>Epidemiol</w:t>
      </w:r>
      <w:proofErr w:type="spellEnd"/>
      <w:r>
        <w:rPr>
          <w:lang w:val="en-GB"/>
        </w:rPr>
        <w:t xml:space="preserve"> 2010</w:t>
      </w:r>
      <w:proofErr w:type="gramStart"/>
      <w:r>
        <w:rPr>
          <w:lang w:val="en-GB"/>
        </w:rPr>
        <w:t>;63:502</w:t>
      </w:r>
      <w:proofErr w:type="gramEnd"/>
      <w:r>
        <w:rPr>
          <w:lang w:val="en-GB"/>
        </w:rPr>
        <w:t xml:space="preserve">-12. </w:t>
      </w:r>
    </w:p>
    <w:p w:rsidR="00355E35" w:rsidRDefault="000A385B" w:rsidP="00355E35">
      <w:pPr>
        <w:widowControl/>
        <w:numPr>
          <w:ilvl w:val="0"/>
          <w:numId w:val="2"/>
        </w:numPr>
        <w:kinsoku/>
        <w:overflowPunct/>
        <w:autoSpaceDE w:val="0"/>
        <w:autoSpaceDN w:val="0"/>
        <w:adjustRightInd w:val="0"/>
      </w:pPr>
      <w:r w:rsidRPr="001A49C1">
        <w:rPr>
          <w:b/>
        </w:rPr>
        <w:t>Golder S</w:t>
      </w:r>
      <w:r>
        <w:t xml:space="preserve">, </w:t>
      </w:r>
      <w:proofErr w:type="spellStart"/>
      <w:r>
        <w:t>Loke</w:t>
      </w:r>
      <w:proofErr w:type="spellEnd"/>
      <w:r>
        <w:t xml:space="preserve"> YK, Bland M. </w:t>
      </w:r>
      <w:hyperlink r:id="rId6" w:history="1">
        <w:r w:rsidRPr="001A49C1">
          <w:rPr>
            <w:rStyle w:val="Hyperlink"/>
            <w:color w:val="auto"/>
            <w:u w:val="none"/>
          </w:rPr>
          <w:t>Unpublished data can be of value in systematic reviews of adverse effects: methodological overview.</w:t>
        </w:r>
      </w:hyperlink>
      <w:r>
        <w:t xml:space="preserve"> </w:t>
      </w:r>
      <w:r w:rsidRPr="001A49C1">
        <w:rPr>
          <w:i/>
        </w:rPr>
        <w:t>Journal of Clinical Epidemiology</w:t>
      </w:r>
      <w:r>
        <w:rPr>
          <w:rStyle w:val="src1"/>
          <w:specVanish w:val="0"/>
        </w:rPr>
        <w:t xml:space="preserve"> 2010</w:t>
      </w:r>
      <w:proofErr w:type="gramStart"/>
      <w:r>
        <w:t>;63</w:t>
      </w:r>
      <w:proofErr w:type="gramEnd"/>
      <w:r>
        <w:t>(10):1071-1081.</w:t>
      </w:r>
    </w:p>
    <w:p w:rsidR="00AD4189" w:rsidRDefault="000A385B" w:rsidP="000A385B">
      <w:pPr>
        <w:widowControl/>
        <w:numPr>
          <w:ilvl w:val="0"/>
          <w:numId w:val="2"/>
        </w:numPr>
        <w:kinsoku/>
        <w:overflowPunct/>
        <w:autoSpaceDE w:val="0"/>
        <w:autoSpaceDN w:val="0"/>
        <w:adjustRightInd w:val="0"/>
      </w:pPr>
      <w:r w:rsidRPr="001A49C1">
        <w:rPr>
          <w:b/>
        </w:rPr>
        <w:lastRenderedPageBreak/>
        <w:t>Golder S</w:t>
      </w:r>
      <w:r>
        <w:t xml:space="preserve">, </w:t>
      </w:r>
      <w:proofErr w:type="spellStart"/>
      <w:r>
        <w:t>Loke</w:t>
      </w:r>
      <w:proofErr w:type="spellEnd"/>
      <w:r>
        <w:t xml:space="preserve"> YK. Is there evidence for biased reporting of published adverse effects data in pharmaceutical industry-funded studies? </w:t>
      </w:r>
      <w:r w:rsidRPr="001A49C1">
        <w:rPr>
          <w:i/>
        </w:rPr>
        <w:t>British Journal of Clinical Pharmacology</w:t>
      </w:r>
      <w:r>
        <w:t xml:space="preserve"> 2008:66(6)767-773.</w:t>
      </w:r>
    </w:p>
    <w:p w:rsidR="00355E35" w:rsidRDefault="00355E35" w:rsidP="00355E35">
      <w:pPr>
        <w:widowControl/>
        <w:kinsoku/>
        <w:overflowPunct/>
        <w:autoSpaceDE w:val="0"/>
        <w:autoSpaceDN w:val="0"/>
        <w:adjustRightInd w:val="0"/>
      </w:pPr>
    </w:p>
    <w:p w:rsidR="00F97873" w:rsidRDefault="00F97873" w:rsidP="00355E35">
      <w:pPr>
        <w:widowControl/>
        <w:kinsoku/>
        <w:overflowPunct/>
        <w:autoSpaceDE w:val="0"/>
        <w:autoSpaceDN w:val="0"/>
        <w:adjustRightInd w:val="0"/>
        <w:rPr>
          <w:b/>
        </w:rPr>
      </w:pPr>
      <w:r>
        <w:rPr>
          <w:b/>
        </w:rPr>
        <w:t xml:space="preserve">FIRST APPROVED </w:t>
      </w:r>
    </w:p>
    <w:p w:rsidR="00F97873" w:rsidRPr="00F97873" w:rsidRDefault="00F97873" w:rsidP="00355E35">
      <w:pPr>
        <w:widowControl/>
        <w:kinsoku/>
        <w:overflowPunct/>
        <w:autoSpaceDE w:val="0"/>
        <w:autoSpaceDN w:val="0"/>
        <w:adjustRightInd w:val="0"/>
      </w:pPr>
      <w:r w:rsidRPr="00F97873">
        <w:t>All</w:t>
      </w:r>
      <w:r>
        <w:t xml:space="preserve"> authors first approved this protocol on the 12</w:t>
      </w:r>
      <w:r w:rsidRPr="00F97873">
        <w:rPr>
          <w:vertAlign w:val="superscript"/>
        </w:rPr>
        <w:t>th</w:t>
      </w:r>
      <w:r>
        <w:t xml:space="preserve"> May 2015</w:t>
      </w:r>
    </w:p>
    <w:p w:rsidR="00F97873" w:rsidRDefault="00F97873" w:rsidP="00355E35">
      <w:pPr>
        <w:widowControl/>
        <w:kinsoku/>
        <w:overflowPunct/>
        <w:autoSpaceDE w:val="0"/>
        <w:autoSpaceDN w:val="0"/>
        <w:adjustRightInd w:val="0"/>
        <w:rPr>
          <w:b/>
        </w:rPr>
      </w:pPr>
    </w:p>
    <w:p w:rsidR="00355E35" w:rsidRPr="00355E35" w:rsidRDefault="00355E35" w:rsidP="00355E35">
      <w:pPr>
        <w:widowControl/>
        <w:kinsoku/>
        <w:overflowPunct/>
        <w:autoSpaceDE w:val="0"/>
        <w:autoSpaceDN w:val="0"/>
        <w:adjustRightInd w:val="0"/>
        <w:rPr>
          <w:b/>
        </w:rPr>
      </w:pPr>
      <w:r w:rsidRPr="00355E35">
        <w:rPr>
          <w:b/>
        </w:rPr>
        <w:t>ADMENDMENTS</w:t>
      </w:r>
      <w:r w:rsidR="00F97873">
        <w:rPr>
          <w:b/>
        </w:rPr>
        <w:t xml:space="preserve"> – August 2015</w:t>
      </w:r>
    </w:p>
    <w:p w:rsidR="00F97873" w:rsidRDefault="00355E35" w:rsidP="00C518DE">
      <w:pPr>
        <w:pStyle w:val="ListParagraph"/>
        <w:widowControl/>
        <w:numPr>
          <w:ilvl w:val="0"/>
          <w:numId w:val="5"/>
        </w:numPr>
        <w:kinsoku/>
        <w:overflowPunct/>
        <w:autoSpaceDE w:val="0"/>
        <w:autoSpaceDN w:val="0"/>
        <w:adjustRightInd w:val="0"/>
      </w:pPr>
      <w:r>
        <w:t>Item 6 of the assessment of methodological quality was only used for those studies which compared unmatched published and unpublished data.</w:t>
      </w:r>
      <w:r w:rsidR="00F476C4">
        <w:t xml:space="preserve"> </w:t>
      </w:r>
      <w:r>
        <w:t xml:space="preserve">The following item was used for matched studies </w:t>
      </w:r>
      <w:r w:rsidR="00F476C4">
        <w:t xml:space="preserve">instead </w:t>
      </w:r>
      <w:r>
        <w:t>“</w:t>
      </w:r>
      <w:r w:rsidRPr="00F476C4">
        <w:rPr>
          <w:rFonts w:asciiTheme="minorHAnsi" w:eastAsia="Times New Roman" w:hAnsiTheme="minorHAnsi"/>
          <w:sz w:val="22"/>
          <w:szCs w:val="22"/>
        </w:rPr>
        <w:t xml:space="preserve">Matching and confirming versions of the same study: </w:t>
      </w:r>
      <w:r w:rsidRPr="001D0A5D">
        <w:t>For instance, were explicit criteria for intervention, sample size, study duration, dose groups etc. used? Were study identification numbers used, or were links/citations taken from unpublished versions?”</w:t>
      </w:r>
      <w:bookmarkStart w:id="1" w:name="_GoBack"/>
      <w:bookmarkEnd w:id="1"/>
    </w:p>
    <w:sectPr w:rsidR="00F97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96DBB"/>
    <w:multiLevelType w:val="hybridMultilevel"/>
    <w:tmpl w:val="6B74B5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AB5DE4"/>
    <w:multiLevelType w:val="hybridMultilevel"/>
    <w:tmpl w:val="A28C4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B42501"/>
    <w:multiLevelType w:val="hybridMultilevel"/>
    <w:tmpl w:val="B4E68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1D34C7"/>
    <w:multiLevelType w:val="hybridMultilevel"/>
    <w:tmpl w:val="D548C6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F9A3A6A"/>
    <w:multiLevelType w:val="hybridMultilevel"/>
    <w:tmpl w:val="64688016"/>
    <w:lvl w:ilvl="0" w:tplc="820A4908">
      <w:start w:val="1"/>
      <w:numFmt w:val="decimal"/>
      <w:lvlText w:val="%1."/>
      <w:lvlJc w:val="left"/>
      <w:pPr>
        <w:ind w:left="360" w:hanging="360"/>
      </w:pPr>
      <w:rPr>
        <w:rFonts w:ascii="Times New Roman" w:eastAsia="Times New Roman" w:hAnsi="Times New Roman"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5B"/>
    <w:rsid w:val="000A385B"/>
    <w:rsid w:val="001A49C1"/>
    <w:rsid w:val="001D0A5D"/>
    <w:rsid w:val="00355E35"/>
    <w:rsid w:val="007A52F2"/>
    <w:rsid w:val="00B65C0E"/>
    <w:rsid w:val="00C518DE"/>
    <w:rsid w:val="00E60CAD"/>
    <w:rsid w:val="00F04D75"/>
    <w:rsid w:val="00F476C4"/>
    <w:rsid w:val="00F9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5B"/>
    <w:pPr>
      <w:widowControl w:val="0"/>
      <w:kinsoku w:val="0"/>
      <w:overflowPunct w:val="0"/>
      <w:spacing w:after="0" w:line="240" w:lineRule="auto"/>
    </w:pPr>
    <w:rPr>
      <w:rFonts w:ascii="Times New Roman" w:eastAsiaTheme="minorEastAsia" w:hAnsi="Times New Roman" w:cs="Times New Roman"/>
      <w:sz w:val="24"/>
      <w:szCs w:val="24"/>
      <w:lang w:val="en-US" w:eastAsia="en-GB"/>
    </w:rPr>
  </w:style>
  <w:style w:type="paragraph" w:styleId="Heading2">
    <w:name w:val="heading 2"/>
    <w:basedOn w:val="Normal"/>
    <w:next w:val="Normal"/>
    <w:link w:val="Heading2Char"/>
    <w:uiPriority w:val="9"/>
    <w:semiHidden/>
    <w:unhideWhenUsed/>
    <w:qFormat/>
    <w:rsid w:val="000A38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8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385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A385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385B"/>
    <w:rPr>
      <w:rFonts w:asciiTheme="majorHAnsi" w:eastAsiaTheme="majorEastAsia" w:hAnsiTheme="majorHAnsi" w:cstheme="majorBidi"/>
      <w:b/>
      <w:bCs/>
      <w:color w:val="4F81BD" w:themeColor="accent1"/>
      <w:sz w:val="26"/>
      <w:szCs w:val="26"/>
      <w:lang w:val="en-US" w:eastAsia="en-GB"/>
    </w:rPr>
  </w:style>
  <w:style w:type="character" w:customStyle="1" w:styleId="Heading3Char">
    <w:name w:val="Heading 3 Char"/>
    <w:basedOn w:val="DefaultParagraphFont"/>
    <w:link w:val="Heading3"/>
    <w:uiPriority w:val="9"/>
    <w:semiHidden/>
    <w:rsid w:val="000A385B"/>
    <w:rPr>
      <w:rFonts w:asciiTheme="majorHAnsi" w:eastAsiaTheme="majorEastAsia" w:hAnsiTheme="majorHAnsi" w:cstheme="majorBidi"/>
      <w:b/>
      <w:bCs/>
      <w:color w:val="4F81BD" w:themeColor="accent1"/>
      <w:sz w:val="24"/>
      <w:szCs w:val="24"/>
      <w:lang w:val="en-US" w:eastAsia="en-GB"/>
    </w:rPr>
  </w:style>
  <w:style w:type="character" w:customStyle="1" w:styleId="Heading4Char">
    <w:name w:val="Heading 4 Char"/>
    <w:basedOn w:val="DefaultParagraphFont"/>
    <w:link w:val="Heading4"/>
    <w:uiPriority w:val="9"/>
    <w:semiHidden/>
    <w:rsid w:val="000A385B"/>
    <w:rPr>
      <w:rFonts w:asciiTheme="majorHAnsi" w:eastAsiaTheme="majorEastAsia" w:hAnsiTheme="majorHAnsi" w:cstheme="majorBidi"/>
      <w:b/>
      <w:bCs/>
      <w:i/>
      <w:iCs/>
      <w:color w:val="4F81BD" w:themeColor="accent1"/>
      <w:sz w:val="24"/>
      <w:szCs w:val="24"/>
      <w:lang w:val="en-US" w:eastAsia="en-GB"/>
    </w:rPr>
  </w:style>
  <w:style w:type="character" w:customStyle="1" w:styleId="Heading6Char">
    <w:name w:val="Heading 6 Char"/>
    <w:basedOn w:val="DefaultParagraphFont"/>
    <w:link w:val="Heading6"/>
    <w:uiPriority w:val="9"/>
    <w:semiHidden/>
    <w:rsid w:val="000A385B"/>
    <w:rPr>
      <w:rFonts w:asciiTheme="majorHAnsi" w:eastAsiaTheme="majorEastAsia" w:hAnsiTheme="majorHAnsi" w:cstheme="majorBidi"/>
      <w:i/>
      <w:iCs/>
      <w:color w:val="243F60" w:themeColor="accent1" w:themeShade="7F"/>
      <w:sz w:val="24"/>
      <w:szCs w:val="24"/>
      <w:lang w:val="en-US" w:eastAsia="en-GB"/>
    </w:rPr>
  </w:style>
  <w:style w:type="paragraph" w:styleId="ListParagraph">
    <w:name w:val="List Paragraph"/>
    <w:basedOn w:val="Normal"/>
    <w:uiPriority w:val="34"/>
    <w:qFormat/>
    <w:rsid w:val="000A385B"/>
    <w:pPr>
      <w:ind w:left="720"/>
      <w:contextualSpacing/>
    </w:pPr>
  </w:style>
  <w:style w:type="character" w:customStyle="1" w:styleId="src1">
    <w:name w:val="src1"/>
    <w:rsid w:val="000A385B"/>
    <w:rPr>
      <w:vanish/>
      <w:webHidden w:val="0"/>
      <w:specVanish/>
    </w:rPr>
  </w:style>
  <w:style w:type="character" w:styleId="Hyperlink">
    <w:name w:val="Hyperlink"/>
    <w:basedOn w:val="DefaultParagraphFont"/>
    <w:uiPriority w:val="99"/>
    <w:semiHidden/>
    <w:unhideWhenUsed/>
    <w:rsid w:val="000A38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5B"/>
    <w:pPr>
      <w:widowControl w:val="0"/>
      <w:kinsoku w:val="0"/>
      <w:overflowPunct w:val="0"/>
      <w:spacing w:after="0" w:line="240" w:lineRule="auto"/>
    </w:pPr>
    <w:rPr>
      <w:rFonts w:ascii="Times New Roman" w:eastAsiaTheme="minorEastAsia" w:hAnsi="Times New Roman" w:cs="Times New Roman"/>
      <w:sz w:val="24"/>
      <w:szCs w:val="24"/>
      <w:lang w:val="en-US" w:eastAsia="en-GB"/>
    </w:rPr>
  </w:style>
  <w:style w:type="paragraph" w:styleId="Heading2">
    <w:name w:val="heading 2"/>
    <w:basedOn w:val="Normal"/>
    <w:next w:val="Normal"/>
    <w:link w:val="Heading2Char"/>
    <w:uiPriority w:val="9"/>
    <w:semiHidden/>
    <w:unhideWhenUsed/>
    <w:qFormat/>
    <w:rsid w:val="000A38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8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385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A385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385B"/>
    <w:rPr>
      <w:rFonts w:asciiTheme="majorHAnsi" w:eastAsiaTheme="majorEastAsia" w:hAnsiTheme="majorHAnsi" w:cstheme="majorBidi"/>
      <w:b/>
      <w:bCs/>
      <w:color w:val="4F81BD" w:themeColor="accent1"/>
      <w:sz w:val="26"/>
      <w:szCs w:val="26"/>
      <w:lang w:val="en-US" w:eastAsia="en-GB"/>
    </w:rPr>
  </w:style>
  <w:style w:type="character" w:customStyle="1" w:styleId="Heading3Char">
    <w:name w:val="Heading 3 Char"/>
    <w:basedOn w:val="DefaultParagraphFont"/>
    <w:link w:val="Heading3"/>
    <w:uiPriority w:val="9"/>
    <w:semiHidden/>
    <w:rsid w:val="000A385B"/>
    <w:rPr>
      <w:rFonts w:asciiTheme="majorHAnsi" w:eastAsiaTheme="majorEastAsia" w:hAnsiTheme="majorHAnsi" w:cstheme="majorBidi"/>
      <w:b/>
      <w:bCs/>
      <w:color w:val="4F81BD" w:themeColor="accent1"/>
      <w:sz w:val="24"/>
      <w:szCs w:val="24"/>
      <w:lang w:val="en-US" w:eastAsia="en-GB"/>
    </w:rPr>
  </w:style>
  <w:style w:type="character" w:customStyle="1" w:styleId="Heading4Char">
    <w:name w:val="Heading 4 Char"/>
    <w:basedOn w:val="DefaultParagraphFont"/>
    <w:link w:val="Heading4"/>
    <w:uiPriority w:val="9"/>
    <w:semiHidden/>
    <w:rsid w:val="000A385B"/>
    <w:rPr>
      <w:rFonts w:asciiTheme="majorHAnsi" w:eastAsiaTheme="majorEastAsia" w:hAnsiTheme="majorHAnsi" w:cstheme="majorBidi"/>
      <w:b/>
      <w:bCs/>
      <w:i/>
      <w:iCs/>
      <w:color w:val="4F81BD" w:themeColor="accent1"/>
      <w:sz w:val="24"/>
      <w:szCs w:val="24"/>
      <w:lang w:val="en-US" w:eastAsia="en-GB"/>
    </w:rPr>
  </w:style>
  <w:style w:type="character" w:customStyle="1" w:styleId="Heading6Char">
    <w:name w:val="Heading 6 Char"/>
    <w:basedOn w:val="DefaultParagraphFont"/>
    <w:link w:val="Heading6"/>
    <w:uiPriority w:val="9"/>
    <w:semiHidden/>
    <w:rsid w:val="000A385B"/>
    <w:rPr>
      <w:rFonts w:asciiTheme="majorHAnsi" w:eastAsiaTheme="majorEastAsia" w:hAnsiTheme="majorHAnsi" w:cstheme="majorBidi"/>
      <w:i/>
      <w:iCs/>
      <w:color w:val="243F60" w:themeColor="accent1" w:themeShade="7F"/>
      <w:sz w:val="24"/>
      <w:szCs w:val="24"/>
      <w:lang w:val="en-US" w:eastAsia="en-GB"/>
    </w:rPr>
  </w:style>
  <w:style w:type="paragraph" w:styleId="ListParagraph">
    <w:name w:val="List Paragraph"/>
    <w:basedOn w:val="Normal"/>
    <w:uiPriority w:val="34"/>
    <w:qFormat/>
    <w:rsid w:val="000A385B"/>
    <w:pPr>
      <w:ind w:left="720"/>
      <w:contextualSpacing/>
    </w:pPr>
  </w:style>
  <w:style w:type="character" w:customStyle="1" w:styleId="src1">
    <w:name w:val="src1"/>
    <w:rsid w:val="000A385B"/>
    <w:rPr>
      <w:vanish/>
      <w:webHidden w:val="0"/>
      <w:specVanish/>
    </w:rPr>
  </w:style>
  <w:style w:type="character" w:styleId="Hyperlink">
    <w:name w:val="Hyperlink"/>
    <w:basedOn w:val="DefaultParagraphFont"/>
    <w:uiPriority w:val="99"/>
    <w:semiHidden/>
    <w:unhideWhenUsed/>
    <w:rsid w:val="000A3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04575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Golder, S.P.</dc:creator>
  <cp:lastModifiedBy>Golder, S.P.</cp:lastModifiedBy>
  <cp:revision>2</cp:revision>
  <dcterms:created xsi:type="dcterms:W3CDTF">2016-07-20T12:53:00Z</dcterms:created>
  <dcterms:modified xsi:type="dcterms:W3CDTF">2016-07-20T12:53:00Z</dcterms:modified>
</cp:coreProperties>
</file>