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C5" w:rsidRPr="009B0662" w:rsidRDefault="002411C5" w:rsidP="00114489">
      <w:pPr>
        <w:spacing w:before="0" w:after="0" w:line="480" w:lineRule="auto"/>
        <w:jc w:val="center"/>
        <w:rPr>
          <w:rFonts w:ascii="Times New Roman" w:eastAsiaTheme="minorEastAsia" w:hAnsi="Times New Roman" w:cs="Times New Roman"/>
          <w:b/>
          <w:lang w:eastAsia="zh-CN"/>
        </w:rPr>
      </w:pPr>
      <w:bookmarkStart w:id="0" w:name="_GoBack"/>
      <w:bookmarkEnd w:id="0"/>
      <w:r w:rsidRPr="009B0662">
        <w:rPr>
          <w:rFonts w:ascii="Times New Roman" w:eastAsiaTheme="minorEastAsia" w:hAnsi="Times New Roman" w:cs="Times New Roman"/>
          <w:b/>
          <w:lang w:eastAsia="zh-CN"/>
        </w:rPr>
        <w:t>中国手足口病</w:t>
      </w:r>
      <w:r w:rsidR="00FF5DDB" w:rsidRPr="009B0662">
        <w:rPr>
          <w:rFonts w:ascii="Times New Roman" w:eastAsiaTheme="minorEastAsia" w:hAnsi="Times New Roman" w:cs="Times New Roman"/>
          <w:b/>
          <w:lang w:eastAsia="zh-CN"/>
        </w:rPr>
        <w:t>：</w:t>
      </w:r>
      <w:r w:rsidRPr="009B0662">
        <w:rPr>
          <w:rFonts w:ascii="Times New Roman" w:eastAsiaTheme="minorEastAsia" w:hAnsi="Times New Roman" w:cs="Times New Roman"/>
          <w:b/>
          <w:lang w:eastAsia="zh-CN"/>
        </w:rPr>
        <w:t>相关肠道病毒</w:t>
      </w:r>
      <w:r w:rsidR="00FF5DDB" w:rsidRPr="009B0662">
        <w:rPr>
          <w:rFonts w:ascii="Times New Roman" w:eastAsiaTheme="minorEastAsia" w:hAnsi="Times New Roman" w:cs="Times New Roman"/>
          <w:b/>
          <w:lang w:eastAsia="zh-CN"/>
        </w:rPr>
        <w:t>血清型的</w:t>
      </w:r>
      <w:r w:rsidRPr="009B0662">
        <w:rPr>
          <w:rFonts w:ascii="Times New Roman" w:eastAsiaTheme="minorEastAsia" w:hAnsi="Times New Roman" w:cs="Times New Roman"/>
          <w:b/>
          <w:lang w:eastAsia="zh-CN"/>
        </w:rPr>
        <w:t>传播动力学模型研究</w:t>
      </w:r>
      <w:r w:rsidR="00E87D49" w:rsidRPr="009B0662">
        <w:rPr>
          <w:rFonts w:ascii="Times New Roman" w:eastAsiaTheme="minorEastAsia" w:hAnsi="Times New Roman" w:cs="Times New Roman"/>
          <w:b/>
          <w:lang w:eastAsia="zh-CN"/>
        </w:rPr>
        <w:t>及其对</w:t>
      </w:r>
      <w:r w:rsidRPr="009B0662">
        <w:rPr>
          <w:rFonts w:ascii="Times New Roman" w:eastAsiaTheme="minorEastAsia" w:hAnsi="Times New Roman" w:cs="Times New Roman"/>
          <w:b/>
          <w:lang w:eastAsia="zh-CN"/>
        </w:rPr>
        <w:t>疫苗</w:t>
      </w:r>
      <w:r w:rsidR="00FF5DDB" w:rsidRPr="009B0662">
        <w:rPr>
          <w:rFonts w:ascii="Times New Roman" w:eastAsiaTheme="minorEastAsia" w:hAnsi="Times New Roman" w:cs="Times New Roman"/>
          <w:b/>
          <w:lang w:eastAsia="zh-CN"/>
        </w:rPr>
        <w:t>免疫</w:t>
      </w:r>
      <w:r w:rsidR="00DD2062" w:rsidRPr="009B0662">
        <w:rPr>
          <w:rFonts w:ascii="Times New Roman" w:eastAsiaTheme="minorEastAsia" w:hAnsi="Times New Roman" w:cs="Times New Roman"/>
          <w:b/>
          <w:lang w:eastAsia="zh-CN"/>
        </w:rPr>
        <w:t>策略</w:t>
      </w:r>
      <w:r w:rsidR="00E87D49" w:rsidRPr="009B0662">
        <w:rPr>
          <w:rFonts w:ascii="Times New Roman" w:eastAsiaTheme="minorEastAsia" w:hAnsi="Times New Roman" w:cs="Times New Roman"/>
          <w:b/>
          <w:lang w:eastAsia="zh-CN"/>
        </w:rPr>
        <w:t>的</w:t>
      </w:r>
      <w:r w:rsidRPr="009B0662">
        <w:rPr>
          <w:rFonts w:ascii="Times New Roman" w:eastAsiaTheme="minorEastAsia" w:hAnsi="Times New Roman" w:cs="Times New Roman"/>
          <w:b/>
          <w:lang w:eastAsia="zh-CN"/>
        </w:rPr>
        <w:t>启示</w:t>
      </w:r>
    </w:p>
    <w:p w:rsidR="00D446F8" w:rsidRPr="009B0662" w:rsidRDefault="00D446F8" w:rsidP="00114489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 w:rsidRPr="009B0662">
        <w:rPr>
          <w:b/>
          <w:bCs/>
          <w:sz w:val="23"/>
          <w:szCs w:val="23"/>
        </w:rPr>
        <w:t xml:space="preserve">Hand, foot, and mouth disease in China: modelling epidemic dynamics of enterovirus serotypes and implications for vaccination </w:t>
      </w:r>
    </w:p>
    <w:p w:rsidR="00D446F8" w:rsidRPr="009B0662" w:rsidRDefault="00D446F8" w:rsidP="00114489">
      <w:pPr>
        <w:pStyle w:val="Default"/>
        <w:spacing w:line="480" w:lineRule="auto"/>
        <w:rPr>
          <w:sz w:val="23"/>
          <w:szCs w:val="23"/>
        </w:rPr>
      </w:pPr>
      <w:r w:rsidRPr="009B0662">
        <w:rPr>
          <w:sz w:val="22"/>
          <w:szCs w:val="22"/>
        </w:rPr>
        <w:t>Saki Takahashi</w:t>
      </w:r>
      <w:r w:rsidRPr="009B0662">
        <w:rPr>
          <w:position w:val="8"/>
          <w:sz w:val="22"/>
          <w:szCs w:val="22"/>
          <w:vertAlign w:val="superscript"/>
        </w:rPr>
        <w:t>1</w:t>
      </w:r>
      <w:r w:rsidRPr="009B0662">
        <w:rPr>
          <w:sz w:val="22"/>
          <w:szCs w:val="22"/>
        </w:rPr>
        <w:t xml:space="preserve">, </w:t>
      </w:r>
      <w:r w:rsidRPr="009B0662">
        <w:rPr>
          <w:sz w:val="22"/>
          <w:szCs w:val="22"/>
        </w:rPr>
        <w:t>廖巧红</w:t>
      </w:r>
      <w:r w:rsidRPr="009B0662">
        <w:rPr>
          <w:position w:val="8"/>
          <w:sz w:val="22"/>
          <w:szCs w:val="22"/>
          <w:vertAlign w:val="superscript"/>
        </w:rPr>
        <w:t>2</w:t>
      </w:r>
      <w:r w:rsidRPr="009B0662">
        <w:rPr>
          <w:sz w:val="22"/>
          <w:szCs w:val="22"/>
        </w:rPr>
        <w:t xml:space="preserve">, Thomas P. Van </w:t>
      </w:r>
      <w:proofErr w:type="spellStart"/>
      <w:r w:rsidRPr="009B0662">
        <w:rPr>
          <w:sz w:val="22"/>
          <w:szCs w:val="22"/>
        </w:rPr>
        <w:t>Boeckel</w:t>
      </w:r>
      <w:proofErr w:type="spellEnd"/>
      <w:r w:rsidRPr="009B0662">
        <w:rPr>
          <w:position w:val="8"/>
          <w:sz w:val="22"/>
          <w:szCs w:val="22"/>
          <w:vertAlign w:val="superscript"/>
        </w:rPr>
        <w:t>1</w:t>
      </w:r>
      <w:r w:rsidRPr="009B0662">
        <w:rPr>
          <w:sz w:val="22"/>
          <w:szCs w:val="22"/>
        </w:rPr>
        <w:t xml:space="preserve">, </w:t>
      </w:r>
      <w:r w:rsidRPr="009B0662">
        <w:rPr>
          <w:sz w:val="22"/>
          <w:szCs w:val="22"/>
        </w:rPr>
        <w:t>邢薇佳</w:t>
      </w:r>
      <w:r w:rsidRPr="009B0662">
        <w:rPr>
          <w:position w:val="8"/>
          <w:sz w:val="22"/>
          <w:szCs w:val="22"/>
          <w:vertAlign w:val="superscript"/>
        </w:rPr>
        <w:t>2</w:t>
      </w:r>
      <w:r w:rsidRPr="009B0662">
        <w:rPr>
          <w:sz w:val="22"/>
          <w:szCs w:val="22"/>
        </w:rPr>
        <w:t xml:space="preserve">, </w:t>
      </w:r>
      <w:r w:rsidRPr="009B0662">
        <w:rPr>
          <w:sz w:val="22"/>
          <w:szCs w:val="22"/>
        </w:rPr>
        <w:t>孙军玲</w:t>
      </w:r>
      <w:r w:rsidRPr="009B0662">
        <w:rPr>
          <w:position w:val="8"/>
          <w:sz w:val="22"/>
          <w:szCs w:val="22"/>
          <w:vertAlign w:val="superscript"/>
        </w:rPr>
        <w:t>2</w:t>
      </w:r>
      <w:r w:rsidRPr="009B0662">
        <w:rPr>
          <w:sz w:val="22"/>
          <w:szCs w:val="22"/>
        </w:rPr>
        <w:t>, Victor Y. Hsiao</w:t>
      </w:r>
      <w:r w:rsidRPr="009B0662">
        <w:rPr>
          <w:position w:val="8"/>
          <w:sz w:val="22"/>
          <w:szCs w:val="22"/>
          <w:vertAlign w:val="superscript"/>
        </w:rPr>
        <w:t>1</w:t>
      </w:r>
      <w:r w:rsidRPr="009B0662">
        <w:rPr>
          <w:sz w:val="22"/>
          <w:szCs w:val="22"/>
        </w:rPr>
        <w:t>, C. Jessica E. Metcalf</w:t>
      </w:r>
      <w:r w:rsidRPr="009B0662">
        <w:rPr>
          <w:position w:val="8"/>
          <w:sz w:val="22"/>
          <w:szCs w:val="22"/>
          <w:vertAlign w:val="superscript"/>
        </w:rPr>
        <w:t>1,3</w:t>
      </w:r>
      <w:r w:rsidRPr="009B0662">
        <w:rPr>
          <w:sz w:val="22"/>
          <w:szCs w:val="22"/>
        </w:rPr>
        <w:t xml:space="preserve">, </w:t>
      </w:r>
      <w:r w:rsidRPr="009B0662">
        <w:rPr>
          <w:sz w:val="22"/>
          <w:szCs w:val="22"/>
        </w:rPr>
        <w:t>常昭瑞</w:t>
      </w:r>
      <w:r w:rsidRPr="009B0662">
        <w:rPr>
          <w:position w:val="8"/>
          <w:sz w:val="22"/>
          <w:szCs w:val="22"/>
          <w:vertAlign w:val="superscript"/>
        </w:rPr>
        <w:t>2</w:t>
      </w:r>
      <w:r w:rsidRPr="009B0662">
        <w:rPr>
          <w:sz w:val="22"/>
          <w:szCs w:val="22"/>
        </w:rPr>
        <w:t xml:space="preserve">, </w:t>
      </w:r>
      <w:r w:rsidRPr="009B0662">
        <w:rPr>
          <w:sz w:val="22"/>
          <w:szCs w:val="22"/>
        </w:rPr>
        <w:t>刘凤凤</w:t>
      </w:r>
      <w:r w:rsidRPr="009B0662">
        <w:rPr>
          <w:position w:val="8"/>
          <w:sz w:val="22"/>
          <w:szCs w:val="22"/>
          <w:vertAlign w:val="superscript"/>
        </w:rPr>
        <w:t>2</w:t>
      </w:r>
      <w:r w:rsidRPr="009B0662">
        <w:rPr>
          <w:sz w:val="22"/>
          <w:szCs w:val="22"/>
        </w:rPr>
        <w:t xml:space="preserve">, </w:t>
      </w:r>
      <w:r w:rsidRPr="009B0662">
        <w:rPr>
          <w:sz w:val="22"/>
          <w:szCs w:val="22"/>
        </w:rPr>
        <w:t>张静</w:t>
      </w:r>
      <w:r w:rsidRPr="009B0662">
        <w:rPr>
          <w:position w:val="8"/>
          <w:sz w:val="22"/>
          <w:szCs w:val="22"/>
          <w:vertAlign w:val="superscript"/>
        </w:rPr>
        <w:t>2</w:t>
      </w:r>
      <w:r w:rsidRPr="009B0662">
        <w:rPr>
          <w:sz w:val="22"/>
          <w:szCs w:val="22"/>
        </w:rPr>
        <w:t>, Joseph T. Wu</w:t>
      </w:r>
      <w:r w:rsidRPr="009B0662">
        <w:rPr>
          <w:position w:val="8"/>
          <w:sz w:val="22"/>
          <w:szCs w:val="22"/>
          <w:vertAlign w:val="superscript"/>
        </w:rPr>
        <w:t>4</w:t>
      </w:r>
      <w:r w:rsidRPr="009B0662">
        <w:rPr>
          <w:sz w:val="22"/>
          <w:szCs w:val="22"/>
        </w:rPr>
        <w:t>, Benjamin J. Cowling</w:t>
      </w:r>
      <w:r w:rsidRPr="009B0662">
        <w:rPr>
          <w:position w:val="8"/>
          <w:sz w:val="22"/>
          <w:szCs w:val="22"/>
          <w:vertAlign w:val="superscript"/>
        </w:rPr>
        <w:t>4</w:t>
      </w:r>
      <w:r w:rsidRPr="009B0662">
        <w:rPr>
          <w:sz w:val="22"/>
          <w:szCs w:val="22"/>
        </w:rPr>
        <w:t>, Gabriel M. Leung</w:t>
      </w:r>
      <w:r w:rsidRPr="009B0662">
        <w:rPr>
          <w:position w:val="8"/>
          <w:sz w:val="22"/>
          <w:szCs w:val="22"/>
          <w:vertAlign w:val="superscript"/>
        </w:rPr>
        <w:t>4</w:t>
      </w:r>
      <w:r w:rsidRPr="009B0662">
        <w:rPr>
          <w:sz w:val="22"/>
          <w:szCs w:val="22"/>
        </w:rPr>
        <w:t>, Jeremy J. Farrar</w:t>
      </w:r>
      <w:r w:rsidRPr="009B0662">
        <w:rPr>
          <w:position w:val="8"/>
          <w:sz w:val="22"/>
          <w:szCs w:val="22"/>
          <w:vertAlign w:val="superscript"/>
        </w:rPr>
        <w:t>5</w:t>
      </w:r>
      <w:r w:rsidRPr="009B0662">
        <w:rPr>
          <w:sz w:val="22"/>
          <w:szCs w:val="22"/>
        </w:rPr>
        <w:t xml:space="preserve">, H. </w:t>
      </w:r>
      <w:proofErr w:type="spellStart"/>
      <w:r w:rsidRPr="009B0662">
        <w:rPr>
          <w:sz w:val="22"/>
          <w:szCs w:val="22"/>
        </w:rPr>
        <w:t>Rogier</w:t>
      </w:r>
      <w:proofErr w:type="spellEnd"/>
      <w:r w:rsidRPr="009B0662">
        <w:rPr>
          <w:sz w:val="22"/>
          <w:szCs w:val="22"/>
        </w:rPr>
        <w:t xml:space="preserve"> van </w:t>
      </w:r>
      <w:proofErr w:type="spellStart"/>
      <w:r w:rsidRPr="009B0662">
        <w:rPr>
          <w:sz w:val="22"/>
          <w:szCs w:val="22"/>
        </w:rPr>
        <w:t>Doorn</w:t>
      </w:r>
      <w:proofErr w:type="spellEnd"/>
      <w:r w:rsidRPr="009B0662">
        <w:rPr>
          <w:position w:val="8"/>
          <w:sz w:val="22"/>
          <w:szCs w:val="22"/>
          <w:vertAlign w:val="superscript"/>
        </w:rPr>
        <w:t>5,6</w:t>
      </w:r>
      <w:r w:rsidRPr="009B0662">
        <w:rPr>
          <w:sz w:val="22"/>
          <w:szCs w:val="22"/>
        </w:rPr>
        <w:t>, Bryan T. Grenfell</w:t>
      </w:r>
      <w:r w:rsidRPr="009B0662">
        <w:rPr>
          <w:position w:val="8"/>
          <w:sz w:val="22"/>
          <w:szCs w:val="22"/>
          <w:vertAlign w:val="superscript"/>
        </w:rPr>
        <w:t>1,7,*</w:t>
      </w:r>
      <w:r w:rsidRPr="009B0662">
        <w:rPr>
          <w:sz w:val="22"/>
          <w:szCs w:val="22"/>
        </w:rPr>
        <w:t xml:space="preserve">, </w:t>
      </w:r>
      <w:r w:rsidRPr="009B0662">
        <w:rPr>
          <w:sz w:val="22"/>
          <w:szCs w:val="22"/>
        </w:rPr>
        <w:t>余宏杰</w:t>
      </w:r>
      <w:r w:rsidRPr="009B0662">
        <w:rPr>
          <w:position w:val="8"/>
          <w:sz w:val="22"/>
          <w:szCs w:val="22"/>
          <w:vertAlign w:val="superscript"/>
        </w:rPr>
        <w:t>2,*</w:t>
      </w:r>
      <w:r w:rsidRPr="009B0662">
        <w:rPr>
          <w:sz w:val="22"/>
          <w:szCs w:val="22"/>
        </w:rPr>
        <w:t xml:space="preserve">. </w:t>
      </w:r>
    </w:p>
    <w:p w:rsidR="00D446F8" w:rsidRPr="009B0662" w:rsidRDefault="00D446F8" w:rsidP="00114489">
      <w:pPr>
        <w:pStyle w:val="Default"/>
        <w:spacing w:line="480" w:lineRule="auto"/>
        <w:rPr>
          <w:sz w:val="22"/>
          <w:szCs w:val="22"/>
        </w:rPr>
      </w:pPr>
      <w:r w:rsidRPr="009B0662">
        <w:rPr>
          <w:b/>
          <w:bCs/>
          <w:sz w:val="22"/>
          <w:szCs w:val="22"/>
        </w:rPr>
        <w:t>作者单位</w:t>
      </w:r>
    </w:p>
    <w:p w:rsidR="00D90FC7" w:rsidRPr="009B0662" w:rsidRDefault="00D90FC7" w:rsidP="00114489">
      <w:pPr>
        <w:pStyle w:val="Default"/>
        <w:spacing w:line="480" w:lineRule="auto"/>
        <w:rPr>
          <w:sz w:val="23"/>
          <w:szCs w:val="23"/>
        </w:rPr>
      </w:pPr>
      <w:r w:rsidRPr="009B0662">
        <w:rPr>
          <w:sz w:val="23"/>
          <w:szCs w:val="23"/>
        </w:rPr>
        <w:t xml:space="preserve">1. Department of Ecology and Evolutionary Biology, Princeton University, Princeton, New Jersey, USA. </w:t>
      </w:r>
    </w:p>
    <w:p w:rsidR="00D446F8" w:rsidRPr="009B0662" w:rsidRDefault="00D446F8" w:rsidP="00114489">
      <w:pPr>
        <w:spacing w:before="0" w:after="0" w:line="480" w:lineRule="auto"/>
        <w:rPr>
          <w:rFonts w:ascii="Times New Roman" w:hAnsi="Times New Roman" w:cs="Times New Roman"/>
          <w:color w:val="2B2B2B"/>
          <w:lang w:eastAsia="zh-CN"/>
        </w:rPr>
      </w:pPr>
      <w:r w:rsidRPr="009B0662">
        <w:rPr>
          <w:rFonts w:ascii="Times New Roman" w:hAnsi="Times New Roman" w:cs="Times New Roman"/>
          <w:color w:val="2B2B2B"/>
          <w:lang w:eastAsia="zh-CN"/>
        </w:rPr>
        <w:t>2.</w:t>
      </w:r>
      <w:r w:rsidRPr="009B0662">
        <w:rPr>
          <w:rFonts w:ascii="Times New Roman" w:hAnsi="Arial" w:cs="Times New Roman"/>
          <w:color w:val="2B2B2B"/>
          <w:lang w:eastAsia="zh-CN"/>
        </w:rPr>
        <w:t>中国疾病预防控制中心传染病预防控制处、传染病监测预警重点实验室，北京，中国。</w:t>
      </w:r>
    </w:p>
    <w:p w:rsidR="00D90FC7" w:rsidRPr="009B0662" w:rsidRDefault="00D90FC7" w:rsidP="00114489">
      <w:pPr>
        <w:pStyle w:val="Default"/>
        <w:spacing w:line="480" w:lineRule="auto"/>
        <w:rPr>
          <w:sz w:val="23"/>
          <w:szCs w:val="23"/>
        </w:rPr>
      </w:pPr>
      <w:r w:rsidRPr="009B0662">
        <w:rPr>
          <w:sz w:val="23"/>
          <w:szCs w:val="23"/>
        </w:rPr>
        <w:t xml:space="preserve">3. Woodrow Wilson School of Public and International Affairs, Princeton University, Princeton, New Jersey, USA. </w:t>
      </w:r>
    </w:p>
    <w:p w:rsidR="00D90FC7" w:rsidRPr="009B0662" w:rsidRDefault="00D90FC7" w:rsidP="00114489">
      <w:pPr>
        <w:pStyle w:val="Default"/>
        <w:spacing w:line="480" w:lineRule="auto"/>
        <w:rPr>
          <w:sz w:val="23"/>
          <w:szCs w:val="23"/>
        </w:rPr>
      </w:pPr>
      <w:r w:rsidRPr="009B0662">
        <w:rPr>
          <w:sz w:val="23"/>
          <w:szCs w:val="23"/>
        </w:rPr>
        <w:t xml:space="preserve">4. WHO Collaborating Centre for Infectious Disease Epidemiology and Control, School of Public Health, Li </w:t>
      </w:r>
      <w:proofErr w:type="spellStart"/>
      <w:r w:rsidRPr="009B0662">
        <w:rPr>
          <w:sz w:val="23"/>
          <w:szCs w:val="23"/>
        </w:rPr>
        <w:t>Ka</w:t>
      </w:r>
      <w:proofErr w:type="spellEnd"/>
      <w:r w:rsidRPr="009B0662">
        <w:rPr>
          <w:sz w:val="23"/>
          <w:szCs w:val="23"/>
        </w:rPr>
        <w:t xml:space="preserve"> </w:t>
      </w:r>
      <w:proofErr w:type="spellStart"/>
      <w:r w:rsidRPr="009B0662">
        <w:rPr>
          <w:sz w:val="23"/>
          <w:szCs w:val="23"/>
        </w:rPr>
        <w:t>Shing</w:t>
      </w:r>
      <w:proofErr w:type="spellEnd"/>
      <w:r w:rsidRPr="009B0662">
        <w:rPr>
          <w:sz w:val="23"/>
          <w:szCs w:val="23"/>
        </w:rPr>
        <w:t xml:space="preserve"> Faculty of Medicine, </w:t>
      </w:r>
      <w:proofErr w:type="gramStart"/>
      <w:r w:rsidRPr="009B0662">
        <w:rPr>
          <w:sz w:val="23"/>
          <w:szCs w:val="23"/>
        </w:rPr>
        <w:t>The</w:t>
      </w:r>
      <w:proofErr w:type="gramEnd"/>
      <w:r w:rsidRPr="009B0662">
        <w:rPr>
          <w:sz w:val="23"/>
          <w:szCs w:val="23"/>
        </w:rPr>
        <w:t xml:space="preserve"> University of Hong Kong, Hong Kong Special Administrative Region, China. </w:t>
      </w:r>
    </w:p>
    <w:p w:rsidR="00D90FC7" w:rsidRPr="009B0662" w:rsidRDefault="00D90FC7" w:rsidP="00114489">
      <w:pPr>
        <w:pStyle w:val="Default"/>
        <w:spacing w:line="480" w:lineRule="auto"/>
        <w:rPr>
          <w:sz w:val="23"/>
          <w:szCs w:val="23"/>
        </w:rPr>
      </w:pPr>
      <w:r w:rsidRPr="009B0662">
        <w:rPr>
          <w:sz w:val="23"/>
          <w:szCs w:val="23"/>
        </w:rPr>
        <w:t xml:space="preserve">5. Oxford University Clinical Research Unit, Hospital for Tropical Diseases, Ho Chi Minh City, Viet Nam. </w:t>
      </w:r>
    </w:p>
    <w:p w:rsidR="00D90FC7" w:rsidRPr="009B0662" w:rsidRDefault="00D90FC7" w:rsidP="00114489">
      <w:pPr>
        <w:pStyle w:val="Default"/>
        <w:spacing w:line="480" w:lineRule="auto"/>
        <w:rPr>
          <w:sz w:val="23"/>
          <w:szCs w:val="23"/>
        </w:rPr>
      </w:pPr>
      <w:r w:rsidRPr="009B0662">
        <w:rPr>
          <w:sz w:val="23"/>
          <w:szCs w:val="23"/>
        </w:rPr>
        <w:t xml:space="preserve">6. Centre for Tropical Medicine, Nuffield Department of Medicine, University of Oxford, Oxford, UK. </w:t>
      </w:r>
    </w:p>
    <w:p w:rsidR="00D90FC7" w:rsidRPr="009B0662" w:rsidRDefault="00D90FC7" w:rsidP="00114489">
      <w:pPr>
        <w:pStyle w:val="Default"/>
        <w:spacing w:line="480" w:lineRule="auto"/>
        <w:rPr>
          <w:sz w:val="23"/>
          <w:szCs w:val="23"/>
        </w:rPr>
      </w:pPr>
      <w:r w:rsidRPr="009B0662">
        <w:rPr>
          <w:sz w:val="23"/>
          <w:szCs w:val="23"/>
        </w:rPr>
        <w:lastRenderedPageBreak/>
        <w:t xml:space="preserve">7. Fogarty International Center, National Institutes of Health, Bethesda, Maryland, USA. </w:t>
      </w:r>
    </w:p>
    <w:p w:rsidR="00D446F8" w:rsidRPr="009B0662" w:rsidRDefault="00D446F8" w:rsidP="00114489">
      <w:pPr>
        <w:spacing w:before="0" w:after="0" w:line="480" w:lineRule="auto"/>
        <w:rPr>
          <w:rFonts w:ascii="Times New Roman" w:hAnsi="Times New Roman" w:cs="Times New Roman"/>
          <w:color w:val="2B2B2B"/>
          <w:lang w:eastAsia="zh-CN"/>
        </w:rPr>
      </w:pPr>
      <w:r w:rsidRPr="009B0662">
        <w:rPr>
          <w:rFonts w:ascii="Times New Roman" w:hAnsi="Times New Roman" w:cs="Times New Roman"/>
          <w:color w:val="2B2B2B"/>
          <w:lang w:eastAsia="zh-CN"/>
        </w:rPr>
        <w:t>*</w:t>
      </w:r>
      <w:r w:rsidRPr="009B0662">
        <w:rPr>
          <w:rFonts w:ascii="Times New Roman" w:hAnsi="Arial" w:cs="Times New Roman"/>
          <w:color w:val="2B2B2B"/>
          <w:lang w:eastAsia="zh-CN"/>
        </w:rPr>
        <w:t>通信</w:t>
      </w:r>
      <w:r w:rsidRPr="009B0662">
        <w:rPr>
          <w:rFonts w:ascii="Times New Roman" w:hAnsi="Times New Roman" w:cs="Times New Roman"/>
          <w:color w:val="2B2B2B"/>
          <w:lang w:eastAsia="zh-CN"/>
        </w:rPr>
        <w:t>:yuhj@chinacdc.cn</w:t>
      </w:r>
      <w:r w:rsidRPr="009B0662">
        <w:rPr>
          <w:rFonts w:ascii="Times New Roman" w:hAnsi="Arial" w:cs="Times New Roman"/>
          <w:color w:val="2B2B2B"/>
          <w:lang w:eastAsia="zh-CN"/>
        </w:rPr>
        <w:t>或者</w:t>
      </w:r>
      <w:r w:rsidRPr="009B0662">
        <w:rPr>
          <w:rFonts w:ascii="Times New Roman" w:hAnsi="Times New Roman" w:cs="Times New Roman"/>
          <w:color w:val="2B2B2B"/>
          <w:lang w:eastAsia="zh-CN"/>
        </w:rPr>
        <w:t>grenfell@princeton.edu</w:t>
      </w:r>
      <w:r w:rsidRPr="009B0662">
        <w:rPr>
          <w:rFonts w:ascii="Times New Roman" w:hAnsi="Arial" w:cs="Times New Roman"/>
          <w:color w:val="2B2B2B"/>
          <w:lang w:eastAsia="zh-CN"/>
        </w:rPr>
        <w:t>。</w:t>
      </w:r>
    </w:p>
    <w:p w:rsidR="00CA4045" w:rsidRPr="009B0662" w:rsidRDefault="00D43E0E" w:rsidP="00114489">
      <w:pPr>
        <w:spacing w:before="0" w:after="0" w:line="480" w:lineRule="auto"/>
        <w:ind w:firstLineChars="200" w:firstLine="440"/>
        <w:rPr>
          <w:rFonts w:ascii="Times New Roman" w:eastAsiaTheme="minorEastAsia" w:hAnsi="Times New Roman" w:cs="Times New Roman"/>
          <w:lang w:eastAsia="zh-CN"/>
        </w:rPr>
      </w:pPr>
      <w:r w:rsidRPr="009B0662">
        <w:rPr>
          <w:rFonts w:ascii="Times New Roman" w:eastAsiaTheme="minorEastAsia" w:hAnsi="Times New Roman" w:cs="Times New Roman"/>
          <w:lang w:eastAsia="zh-CN"/>
        </w:rPr>
        <w:t>摘要</w:t>
      </w:r>
    </w:p>
    <w:p w:rsidR="00D43E0E" w:rsidRPr="009B0662" w:rsidRDefault="00D43E0E" w:rsidP="00114489">
      <w:pPr>
        <w:spacing w:before="0" w:after="0" w:line="480" w:lineRule="auto"/>
        <w:ind w:firstLineChars="200" w:firstLine="440"/>
        <w:rPr>
          <w:rFonts w:ascii="Times New Roman" w:eastAsiaTheme="minorEastAsia" w:hAnsi="Times New Roman" w:cs="Times New Roman"/>
          <w:lang w:eastAsia="zh-CN"/>
        </w:rPr>
      </w:pPr>
      <w:r w:rsidRPr="009B0662">
        <w:rPr>
          <w:rFonts w:ascii="Times New Roman" w:eastAsiaTheme="minorEastAsia" w:hAnsi="Times New Roman" w:cs="Times New Roman"/>
          <w:lang w:eastAsia="zh-CN"/>
        </w:rPr>
        <w:t>背景</w:t>
      </w:r>
    </w:p>
    <w:p w:rsidR="00D43E0E" w:rsidRPr="009B0662" w:rsidRDefault="00150481" w:rsidP="00114489">
      <w:pPr>
        <w:spacing w:before="0" w:after="0" w:line="480" w:lineRule="auto"/>
        <w:ind w:firstLineChars="200" w:firstLine="440"/>
        <w:rPr>
          <w:rFonts w:ascii="Times New Roman" w:eastAsiaTheme="minorEastAsia" w:hAnsi="Times New Roman" w:cs="Times New Roman"/>
          <w:lang w:eastAsia="zh-CN"/>
        </w:rPr>
      </w:pPr>
      <w:bookmarkStart w:id="1" w:name="OLE_LINK1"/>
      <w:bookmarkStart w:id="2" w:name="OLE_LINK2"/>
      <w:r w:rsidRPr="009B0662">
        <w:rPr>
          <w:rFonts w:ascii="Times New Roman" w:eastAsiaTheme="minorEastAsia" w:hAnsi="Times New Roman" w:cs="Times New Roman"/>
          <w:lang w:eastAsia="zh-CN"/>
        </w:rPr>
        <w:t>手足口病是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由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小核糖核酸</w:t>
      </w:r>
      <w:r w:rsidR="007F19CE" w:rsidRPr="009B0662">
        <w:rPr>
          <w:rFonts w:ascii="Times New Roman" w:eastAsiaTheme="minorEastAsia" w:hAnsi="Times New Roman" w:cs="Times New Roman"/>
          <w:lang w:eastAsia="zh-CN"/>
        </w:rPr>
        <w:t>病毒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科肠道病毒属肠道病毒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A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组和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B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组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多种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血清型引起的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儿童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常见疾病</w:t>
      </w:r>
      <w:bookmarkEnd w:id="1"/>
      <w:bookmarkEnd w:id="2"/>
      <w:r w:rsidR="00EA131A" w:rsidRPr="009B0662">
        <w:rPr>
          <w:rFonts w:ascii="Times New Roman" w:eastAsiaTheme="minorEastAsia" w:hAnsi="Times New Roman" w:cs="Times New Roman"/>
          <w:lang w:eastAsia="zh-CN"/>
        </w:rPr>
        <w:t>。过去</w:t>
      </w:r>
      <w:r w:rsidR="00D43E0E" w:rsidRPr="009B0662">
        <w:rPr>
          <w:rFonts w:ascii="Times New Roman" w:eastAsiaTheme="minorEastAsia" w:hAnsi="Times New Roman" w:cs="Times New Roman"/>
          <w:lang w:eastAsia="zh-CN"/>
        </w:rPr>
        <w:t>15</w:t>
      </w:r>
      <w:r w:rsidR="00D43E0E" w:rsidRPr="009B0662">
        <w:rPr>
          <w:rFonts w:ascii="Times New Roman" w:eastAsiaTheme="minorEastAsia" w:hAnsi="Times New Roman" w:cs="Times New Roman"/>
          <w:lang w:eastAsia="zh-CN"/>
        </w:rPr>
        <w:t>年</w:t>
      </w:r>
      <w:r w:rsidR="004B06AF" w:rsidRPr="009B0662">
        <w:rPr>
          <w:rFonts w:ascii="Times New Roman" w:eastAsiaTheme="minorEastAsia" w:hAnsi="Times New Roman" w:cs="Times New Roman"/>
          <w:lang w:eastAsia="zh-CN"/>
        </w:rPr>
        <w:t>中</w:t>
      </w:r>
      <w:r w:rsidR="00D43E0E" w:rsidRPr="009B0662">
        <w:rPr>
          <w:rFonts w:ascii="Times New Roman" w:eastAsiaTheme="minorEastAsia" w:hAnsi="Times New Roman" w:cs="Times New Roman"/>
          <w:lang w:eastAsia="zh-CN"/>
        </w:rPr>
        <w:t>，手足口病在</w:t>
      </w:r>
      <w:r w:rsidR="009C4B75" w:rsidRPr="009B0662">
        <w:rPr>
          <w:rFonts w:ascii="Times New Roman" w:eastAsiaTheme="minorEastAsia" w:hAnsi="Times New Roman" w:cs="Times New Roman"/>
          <w:lang w:eastAsia="zh-CN"/>
        </w:rPr>
        <w:t>东亚和东南亚地区</w:t>
      </w:r>
      <w:r w:rsidR="004B06AF" w:rsidRPr="009B0662">
        <w:rPr>
          <w:rFonts w:ascii="Times New Roman" w:eastAsiaTheme="minorEastAsia" w:hAnsi="Times New Roman" w:cs="Times New Roman"/>
          <w:lang w:eastAsia="zh-CN"/>
        </w:rPr>
        <w:t>造成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严重</w:t>
      </w:r>
      <w:r w:rsidR="009C4B75" w:rsidRPr="009B0662">
        <w:rPr>
          <w:rFonts w:ascii="Times New Roman" w:eastAsiaTheme="minorEastAsia" w:hAnsi="Times New Roman" w:cs="Times New Roman"/>
          <w:lang w:eastAsia="zh-CN"/>
        </w:rPr>
        <w:t>的疾病负担。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2008-2013</w:t>
      </w:r>
      <w:r w:rsidR="00EA131A" w:rsidRPr="009B0662">
        <w:rPr>
          <w:rFonts w:ascii="Times New Roman" w:eastAsiaTheme="minorEastAsia" w:hAnsi="Times New Roman" w:cs="Times New Roman"/>
          <w:lang w:eastAsia="zh-CN"/>
        </w:rPr>
        <w:t>年，</w:t>
      </w:r>
      <w:r w:rsidR="009C4B75" w:rsidRPr="009B0662">
        <w:rPr>
          <w:rFonts w:ascii="Times New Roman" w:eastAsiaTheme="minorEastAsia" w:hAnsi="Times New Roman" w:cs="Times New Roman"/>
          <w:lang w:eastAsia="zh-CN"/>
        </w:rPr>
        <w:t>中国共报告了</w:t>
      </w:r>
      <w:r w:rsidR="00067335" w:rsidRPr="009B0662">
        <w:rPr>
          <w:rFonts w:ascii="Times New Roman" w:eastAsiaTheme="minorEastAsia" w:hAnsi="Times New Roman" w:cs="Times New Roman"/>
          <w:lang w:eastAsia="zh-CN"/>
        </w:rPr>
        <w:t>约</w:t>
      </w:r>
      <w:r w:rsidR="009C4B75" w:rsidRPr="009B0662">
        <w:rPr>
          <w:rFonts w:ascii="Times New Roman" w:eastAsiaTheme="minorEastAsia" w:hAnsi="Times New Roman" w:cs="Times New Roman"/>
          <w:lang w:eastAsia="zh-CN"/>
        </w:rPr>
        <w:t>900</w:t>
      </w:r>
      <w:r w:rsidR="009C4B75" w:rsidRPr="009B0662">
        <w:rPr>
          <w:rFonts w:ascii="Times New Roman" w:eastAsiaTheme="minorEastAsia" w:hAnsi="Times New Roman" w:cs="Times New Roman"/>
          <w:lang w:eastAsia="zh-CN"/>
        </w:rPr>
        <w:t>万</w:t>
      </w:r>
      <w:r w:rsidR="00F8108F" w:rsidRPr="009B0662">
        <w:rPr>
          <w:rFonts w:ascii="Times New Roman" w:eastAsiaTheme="minorEastAsia" w:hAnsi="Times New Roman" w:cs="Times New Roman"/>
          <w:lang w:eastAsia="zh-CN"/>
        </w:rPr>
        <w:t>例</w:t>
      </w:r>
      <w:r w:rsidR="009C4B75" w:rsidRPr="009B0662">
        <w:rPr>
          <w:rFonts w:ascii="Times New Roman" w:eastAsiaTheme="minorEastAsia" w:hAnsi="Times New Roman" w:cs="Times New Roman"/>
          <w:lang w:eastAsia="zh-CN"/>
        </w:rPr>
        <w:t>手足口病，</w:t>
      </w:r>
      <w:r w:rsidR="00452BCE" w:rsidRPr="009B0662">
        <w:rPr>
          <w:rFonts w:ascii="Times New Roman" w:eastAsiaTheme="minorEastAsia" w:hAnsi="Times New Roman" w:cs="Times New Roman"/>
          <w:lang w:eastAsia="zh-CN"/>
        </w:rPr>
        <w:t>其主要致病原是</w:t>
      </w:r>
      <w:r w:rsidR="00452BCE" w:rsidRPr="009B0662">
        <w:rPr>
          <w:rFonts w:ascii="Times New Roman" w:eastAsiaTheme="minorEastAsia" w:hAnsi="Times New Roman" w:cs="Times New Roman"/>
          <w:lang w:eastAsia="zh-CN"/>
        </w:rPr>
        <w:t>Enterovirus A71 (EV-A71) and Coxsackievirus A16 (CV-A16</w:t>
      </w:r>
      <w:proofErr w:type="gramStart"/>
      <w:r w:rsidR="00452BCE" w:rsidRPr="009B0662">
        <w:rPr>
          <w:rFonts w:ascii="Times New Roman" w:eastAsiaTheme="minorEastAsia" w:hAnsi="Times New Roman" w:cs="Times New Roman"/>
          <w:lang w:eastAsia="zh-CN"/>
        </w:rPr>
        <w:t>)</w:t>
      </w:r>
      <w:r w:rsidR="00452BCE" w:rsidRPr="009B0662">
        <w:rPr>
          <w:rFonts w:ascii="Times New Roman" w:eastAsiaTheme="minorEastAsia" w:hAnsi="Times New Roman" w:cs="Times New Roman"/>
          <w:lang w:eastAsia="zh-CN"/>
        </w:rPr>
        <w:t>。</w:t>
      </w:r>
      <w:proofErr w:type="gramEnd"/>
      <w:r w:rsidR="009C4B75" w:rsidRPr="009B0662">
        <w:rPr>
          <w:rFonts w:ascii="Times New Roman" w:eastAsiaTheme="minorEastAsia" w:hAnsi="Times New Roman" w:cs="Times New Roman"/>
          <w:lang w:eastAsia="zh-CN"/>
        </w:rPr>
        <w:t>三个近期开展的</w:t>
      </w:r>
      <w:r w:rsidR="00A94CFA" w:rsidRPr="009B0662">
        <w:rPr>
          <w:rFonts w:ascii="Times New Roman" w:eastAsiaTheme="minorEastAsia" w:hAnsi="Times New Roman" w:cs="Times New Roman"/>
          <w:lang w:eastAsia="zh-CN"/>
        </w:rPr>
        <w:fldChar w:fldCharType="begin"/>
      </w:r>
      <w:r w:rsidR="009C4B75" w:rsidRPr="009B0662">
        <w:rPr>
          <w:rFonts w:ascii="Times New Roman" w:eastAsiaTheme="minorEastAsia" w:hAnsi="Times New Roman" w:cs="Times New Roman"/>
          <w:lang w:eastAsia="zh-CN"/>
        </w:rPr>
        <w:instrText xml:space="preserve"> = 3 \* ROMAN </w:instrText>
      </w:r>
      <w:r w:rsidR="00A94CFA" w:rsidRPr="009B0662">
        <w:rPr>
          <w:rFonts w:ascii="Times New Roman" w:eastAsiaTheme="minorEastAsia" w:hAnsi="Times New Roman" w:cs="Times New Roman"/>
          <w:lang w:eastAsia="zh-CN"/>
        </w:rPr>
        <w:fldChar w:fldCharType="separate"/>
      </w:r>
      <w:r w:rsidR="009C4B75" w:rsidRPr="009B0662">
        <w:rPr>
          <w:rFonts w:ascii="Times New Roman" w:eastAsiaTheme="minorEastAsia" w:hAnsi="Times New Roman" w:cs="Times New Roman"/>
          <w:noProof/>
          <w:lang w:eastAsia="zh-CN"/>
        </w:rPr>
        <w:t>III</w:t>
      </w:r>
      <w:r w:rsidR="00A94CFA" w:rsidRPr="009B0662">
        <w:rPr>
          <w:rFonts w:ascii="Times New Roman" w:eastAsiaTheme="minorEastAsia" w:hAnsi="Times New Roman" w:cs="Times New Roman"/>
          <w:lang w:eastAsia="zh-CN"/>
        </w:rPr>
        <w:fldChar w:fldCharType="end"/>
      </w:r>
      <w:r w:rsidR="009C4B75" w:rsidRPr="009B0662">
        <w:rPr>
          <w:rFonts w:ascii="Times New Roman" w:eastAsiaTheme="minorEastAsia" w:hAnsi="Times New Roman" w:cs="Times New Roman"/>
          <w:lang w:eastAsia="zh-CN"/>
        </w:rPr>
        <w:t>期临床试验</w:t>
      </w:r>
      <w:r w:rsidRPr="009B0662">
        <w:rPr>
          <w:rFonts w:ascii="Times New Roman" w:eastAsiaTheme="minorEastAsia" w:hAnsi="Times New Roman" w:cs="Times New Roman"/>
          <w:lang w:eastAsia="zh-CN"/>
        </w:rPr>
        <w:t>证实了中国生产的</w:t>
      </w:r>
      <w:r w:rsidR="00132D0E" w:rsidRPr="009B0662">
        <w:rPr>
          <w:rFonts w:ascii="Times New Roman" w:eastAsiaTheme="minorEastAsia" w:hAnsi="Times New Roman" w:cs="Times New Roman"/>
          <w:lang w:eastAsia="zh-CN"/>
        </w:rPr>
        <w:t>单价</w:t>
      </w:r>
      <w:r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Pr="009B0662">
        <w:rPr>
          <w:rFonts w:ascii="Times New Roman" w:eastAsiaTheme="minorEastAsia" w:hAnsi="Times New Roman" w:cs="Times New Roman"/>
          <w:lang w:eastAsia="zh-CN"/>
        </w:rPr>
        <w:t>灭活疫苗对</w:t>
      </w:r>
      <w:r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452BCE" w:rsidRPr="009B0662">
        <w:rPr>
          <w:rFonts w:ascii="Times New Roman" w:eastAsiaTheme="minorEastAsia" w:hAnsi="Times New Roman" w:cs="Times New Roman"/>
          <w:lang w:eastAsia="zh-CN"/>
        </w:rPr>
        <w:t>相关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的</w:t>
      </w:r>
      <w:r w:rsidRPr="009B0662">
        <w:rPr>
          <w:rFonts w:ascii="Times New Roman" w:eastAsiaTheme="minorEastAsia" w:hAnsi="Times New Roman" w:cs="Times New Roman"/>
          <w:lang w:eastAsia="zh-CN"/>
        </w:rPr>
        <w:t>手足口病</w:t>
      </w:r>
      <w:r w:rsidR="00452BCE" w:rsidRPr="009B0662">
        <w:rPr>
          <w:rFonts w:ascii="Times New Roman" w:eastAsiaTheme="minorEastAsia" w:hAnsi="Times New Roman" w:cs="Times New Roman"/>
          <w:lang w:eastAsia="zh-CN"/>
        </w:rPr>
        <w:t>有高度的保护效力，</w:t>
      </w:r>
      <w:r w:rsidRPr="009B0662">
        <w:rPr>
          <w:rFonts w:ascii="Times New Roman" w:eastAsiaTheme="minorEastAsia" w:hAnsi="Times New Roman" w:cs="Times New Roman"/>
          <w:lang w:eastAsia="zh-CN"/>
        </w:rPr>
        <w:t>但对</w:t>
      </w:r>
      <w:r w:rsidRPr="009B0662">
        <w:rPr>
          <w:rFonts w:ascii="Times New Roman" w:eastAsiaTheme="minorEastAsia" w:hAnsi="Times New Roman" w:cs="Times New Roman"/>
          <w:lang w:eastAsia="zh-CN"/>
        </w:rPr>
        <w:t>CV-A16</w:t>
      </w:r>
      <w:r w:rsidRPr="009B0662">
        <w:rPr>
          <w:rFonts w:ascii="Times New Roman" w:eastAsiaTheme="minorEastAsia" w:hAnsi="Times New Roman" w:cs="Times New Roman"/>
          <w:lang w:eastAsia="zh-CN"/>
        </w:rPr>
        <w:t>引起的手</w:t>
      </w:r>
      <w:r w:rsidR="00576BFA" w:rsidRPr="009B0662">
        <w:rPr>
          <w:rFonts w:ascii="Times New Roman" w:eastAsiaTheme="minorEastAsia" w:hAnsi="Times New Roman" w:cs="Times New Roman"/>
          <w:lang w:eastAsia="zh-CN"/>
        </w:rPr>
        <w:t>足口病没有保护作用。为</w:t>
      </w:r>
      <w:r w:rsidR="00E2158A" w:rsidRPr="009B0662">
        <w:rPr>
          <w:rFonts w:ascii="Times New Roman" w:eastAsiaTheme="minorEastAsia" w:hAnsi="Times New Roman" w:cs="Times New Roman"/>
          <w:lang w:eastAsia="zh-CN"/>
        </w:rPr>
        <w:t>更好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地</w:t>
      </w:r>
      <w:r w:rsidR="00E2158A" w:rsidRPr="009B0662">
        <w:rPr>
          <w:rFonts w:ascii="Times New Roman" w:eastAsiaTheme="minorEastAsia" w:hAnsi="Times New Roman" w:cs="Times New Roman"/>
          <w:lang w:eastAsia="zh-CN"/>
        </w:rPr>
        <w:t>引导疫苗政策，本研究利</w:t>
      </w:r>
      <w:r w:rsidR="00576BFA" w:rsidRPr="009B0662">
        <w:rPr>
          <w:rFonts w:ascii="Times New Roman" w:eastAsiaTheme="minorEastAsia" w:hAnsi="Times New Roman" w:cs="Times New Roman"/>
          <w:lang w:eastAsia="zh-CN"/>
        </w:rPr>
        <w:t>用数学模型评估</w:t>
      </w:r>
      <w:r w:rsidR="0017743B" w:rsidRPr="009B0662">
        <w:rPr>
          <w:rFonts w:ascii="Times New Roman" w:eastAsiaTheme="minorEastAsia" w:hAnsi="Times New Roman" w:cs="Times New Roman"/>
          <w:lang w:eastAsia="zh-CN"/>
        </w:rPr>
        <w:t>了</w:t>
      </w:r>
      <w:r w:rsidR="00E2158A" w:rsidRPr="009B0662">
        <w:rPr>
          <w:rFonts w:ascii="Times New Roman" w:eastAsiaTheme="minorEastAsia" w:hAnsi="Times New Roman" w:cs="Times New Roman"/>
          <w:lang w:eastAsia="zh-CN"/>
        </w:rPr>
        <w:t>疫苗使用</w:t>
      </w:r>
      <w:r w:rsidRPr="009B0662">
        <w:rPr>
          <w:rFonts w:ascii="Times New Roman" w:eastAsiaTheme="minorEastAsia" w:hAnsi="Times New Roman" w:cs="Times New Roman"/>
          <w:lang w:eastAsia="zh-CN"/>
        </w:rPr>
        <w:t>对</w:t>
      </w:r>
      <w:r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E2158A" w:rsidRPr="009B0662">
        <w:rPr>
          <w:rFonts w:ascii="Times New Roman" w:eastAsiaTheme="minorEastAsia" w:hAnsi="Times New Roman" w:cs="Times New Roman"/>
          <w:lang w:eastAsia="zh-CN"/>
        </w:rPr>
        <w:t>相关</w:t>
      </w:r>
      <w:r w:rsidRPr="009B0662">
        <w:rPr>
          <w:rFonts w:ascii="Times New Roman" w:eastAsiaTheme="minorEastAsia" w:hAnsi="Times New Roman" w:cs="Times New Roman"/>
          <w:lang w:eastAsia="zh-CN"/>
        </w:rPr>
        <w:t>手足口病的</w:t>
      </w:r>
      <w:r w:rsidR="004B06AF" w:rsidRPr="009B0662">
        <w:rPr>
          <w:rFonts w:ascii="Times New Roman" w:eastAsiaTheme="minorEastAsia" w:hAnsi="Times New Roman" w:cs="Times New Roman"/>
          <w:lang w:eastAsia="zh-CN"/>
        </w:rPr>
        <w:t>预期</w:t>
      </w:r>
      <w:r w:rsidRPr="009B0662">
        <w:rPr>
          <w:rFonts w:ascii="Times New Roman" w:eastAsiaTheme="minorEastAsia" w:hAnsi="Times New Roman" w:cs="Times New Roman"/>
          <w:lang w:eastAsia="zh-CN"/>
        </w:rPr>
        <w:t>效果，以及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由</w:t>
      </w:r>
      <w:r w:rsidRPr="009B0662">
        <w:rPr>
          <w:rFonts w:ascii="Times New Roman" w:eastAsiaTheme="minorEastAsia" w:hAnsi="Times New Roman" w:cs="Times New Roman"/>
          <w:lang w:eastAsia="zh-CN"/>
        </w:rPr>
        <w:t>CV-A16</w:t>
      </w:r>
      <w:r w:rsidRPr="009B0662">
        <w:rPr>
          <w:rFonts w:ascii="Times New Roman" w:eastAsiaTheme="minorEastAsia" w:hAnsi="Times New Roman" w:cs="Times New Roman"/>
          <w:lang w:eastAsia="zh-CN"/>
        </w:rPr>
        <w:t>血清型替换</w:t>
      </w:r>
      <w:r w:rsidR="00DD7078" w:rsidRPr="009B0662">
        <w:rPr>
          <w:rFonts w:ascii="Times New Roman" w:eastAsiaTheme="minorEastAsia" w:hAnsi="Times New Roman" w:cs="Times New Roman"/>
          <w:lang w:eastAsia="zh-CN"/>
        </w:rPr>
        <w:t>带来</w:t>
      </w:r>
      <w:r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E23C86" w:rsidRPr="009B0662">
        <w:rPr>
          <w:rFonts w:ascii="Times New Roman" w:eastAsiaTheme="minorEastAsia" w:hAnsi="Times New Roman" w:cs="Times New Roman"/>
          <w:lang w:eastAsia="zh-CN"/>
        </w:rPr>
        <w:t>潜在</w:t>
      </w:r>
      <w:r w:rsidRPr="009B0662">
        <w:rPr>
          <w:rFonts w:ascii="Times New Roman" w:eastAsiaTheme="minorEastAsia" w:hAnsi="Times New Roman" w:cs="Times New Roman"/>
          <w:lang w:eastAsia="zh-CN"/>
        </w:rPr>
        <w:t>风险。</w:t>
      </w:r>
      <w:r w:rsidR="004B06AF" w:rsidRPr="009B0662">
        <w:rPr>
          <w:rFonts w:ascii="Times New Roman" w:eastAsiaTheme="minorEastAsia" w:hAnsi="Times New Roman" w:cs="Times New Roman"/>
          <w:lang w:eastAsia="zh-CN"/>
        </w:rPr>
        <w:t>同</w:t>
      </w:r>
      <w:r w:rsidR="00DD7078" w:rsidRPr="009B0662">
        <w:rPr>
          <w:rFonts w:ascii="Times New Roman" w:eastAsiaTheme="minorEastAsia" w:hAnsi="Times New Roman" w:cs="Times New Roman"/>
          <w:lang w:eastAsia="zh-CN"/>
        </w:rPr>
        <w:t>时</w:t>
      </w:r>
      <w:r w:rsidR="004B06AF" w:rsidRPr="009B0662">
        <w:rPr>
          <w:rFonts w:ascii="Times New Roman" w:eastAsiaTheme="minorEastAsia" w:hAnsi="Times New Roman" w:cs="Times New Roman"/>
          <w:lang w:eastAsia="zh-CN"/>
        </w:rPr>
        <w:t>，</w:t>
      </w:r>
      <w:r w:rsidRPr="009B0662">
        <w:rPr>
          <w:rFonts w:ascii="Times New Roman" w:eastAsiaTheme="minorEastAsia" w:hAnsi="Times New Roman" w:cs="Times New Roman"/>
          <w:lang w:eastAsia="zh-CN"/>
        </w:rPr>
        <w:t>我们</w:t>
      </w:r>
      <w:r w:rsidR="004B06AF" w:rsidRPr="009B0662">
        <w:rPr>
          <w:rFonts w:ascii="Times New Roman" w:eastAsiaTheme="minorEastAsia" w:hAnsi="Times New Roman" w:cs="Times New Roman"/>
          <w:lang w:eastAsia="zh-CN"/>
        </w:rPr>
        <w:t>还扩展</w:t>
      </w:r>
      <w:r w:rsidR="00DD7078" w:rsidRPr="009B0662">
        <w:rPr>
          <w:rFonts w:ascii="Times New Roman" w:eastAsiaTheme="minorEastAsia" w:hAnsi="Times New Roman" w:cs="Times New Roman"/>
          <w:lang w:eastAsia="zh-CN"/>
        </w:rPr>
        <w:t>并</w:t>
      </w:r>
      <w:r w:rsidR="00E23C86" w:rsidRPr="009B0662">
        <w:rPr>
          <w:rFonts w:ascii="Times New Roman" w:eastAsiaTheme="minorEastAsia" w:hAnsi="Times New Roman" w:cs="Times New Roman"/>
          <w:lang w:eastAsia="zh-CN"/>
        </w:rPr>
        <w:t>拟合</w:t>
      </w:r>
      <w:r w:rsidR="0017743B" w:rsidRPr="009B0662">
        <w:rPr>
          <w:rFonts w:ascii="Times New Roman" w:eastAsiaTheme="minorEastAsia" w:hAnsi="Times New Roman" w:cs="Times New Roman"/>
          <w:lang w:eastAsia="zh-CN"/>
        </w:rPr>
        <w:t>了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非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和非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CV-A16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CA4045" w:rsidRPr="009B0662">
        <w:rPr>
          <w:rFonts w:ascii="Times New Roman" w:eastAsiaTheme="minorEastAsia" w:hAnsi="Times New Roman" w:cs="Times New Roman"/>
          <w:lang w:eastAsia="zh-CN"/>
        </w:rPr>
        <w:t>其他肠道病毒血清型</w:t>
      </w:r>
      <w:r w:rsidR="00E23C86" w:rsidRPr="009B0662">
        <w:rPr>
          <w:rFonts w:ascii="Times New Roman" w:eastAsiaTheme="minorEastAsia" w:hAnsi="Times New Roman" w:cs="Times New Roman"/>
          <w:lang w:eastAsia="zh-CN"/>
        </w:rPr>
        <w:t>共同循环的模型，</w:t>
      </w:r>
      <w:r w:rsidR="00DD7078" w:rsidRPr="009B0662">
        <w:rPr>
          <w:rFonts w:ascii="Times New Roman" w:eastAsiaTheme="minorEastAsia" w:hAnsi="Times New Roman" w:cs="Times New Roman"/>
          <w:lang w:eastAsia="zh-CN"/>
        </w:rPr>
        <w:t>并</w:t>
      </w:r>
      <w:r w:rsidR="00E23C86" w:rsidRPr="009B0662">
        <w:rPr>
          <w:rFonts w:ascii="Times New Roman" w:eastAsiaTheme="minorEastAsia" w:hAnsi="Times New Roman" w:cs="Times New Roman"/>
          <w:lang w:eastAsia="zh-CN"/>
        </w:rPr>
        <w:t>分析</w:t>
      </w:r>
      <w:r w:rsidR="00DD7078" w:rsidRPr="009B0662">
        <w:rPr>
          <w:rFonts w:ascii="Times New Roman" w:eastAsiaTheme="minorEastAsia" w:hAnsi="Times New Roman" w:cs="Times New Roman"/>
          <w:lang w:eastAsia="zh-CN"/>
        </w:rPr>
        <w:t>其</w:t>
      </w:r>
      <w:r w:rsidR="00CA4045" w:rsidRPr="009B0662">
        <w:rPr>
          <w:rFonts w:ascii="Times New Roman" w:eastAsiaTheme="minorEastAsia" w:hAnsi="Times New Roman" w:cs="Times New Roman"/>
          <w:lang w:eastAsia="zh-CN"/>
        </w:rPr>
        <w:t>对疫苗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免疫</w:t>
      </w:r>
      <w:r w:rsidR="00CA4045" w:rsidRPr="009B0662">
        <w:rPr>
          <w:rFonts w:ascii="Times New Roman" w:eastAsiaTheme="minorEastAsia" w:hAnsi="Times New Roman" w:cs="Times New Roman"/>
          <w:lang w:eastAsia="zh-CN"/>
        </w:rPr>
        <w:t>策略</w:t>
      </w:r>
      <w:r w:rsidR="004847F4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A102D1" w:rsidRPr="009B0662">
        <w:rPr>
          <w:rFonts w:ascii="Times New Roman" w:eastAsiaTheme="minorEastAsia" w:hAnsi="Times New Roman" w:cs="Times New Roman"/>
          <w:lang w:eastAsia="zh-CN"/>
        </w:rPr>
        <w:t>影响</w:t>
      </w:r>
      <w:r w:rsidR="00CA4045" w:rsidRPr="009B0662">
        <w:rPr>
          <w:rFonts w:ascii="Times New Roman" w:eastAsiaTheme="minorEastAsia" w:hAnsi="Times New Roman" w:cs="Times New Roman"/>
          <w:lang w:eastAsia="zh-CN"/>
        </w:rPr>
        <w:t>。</w:t>
      </w:r>
    </w:p>
    <w:p w:rsidR="00D446F8" w:rsidRPr="009B0662" w:rsidRDefault="00D446F8" w:rsidP="00114489">
      <w:pPr>
        <w:pStyle w:val="Default"/>
        <w:spacing w:line="480" w:lineRule="auto"/>
        <w:rPr>
          <w:sz w:val="23"/>
          <w:szCs w:val="23"/>
        </w:rPr>
      </w:pPr>
    </w:p>
    <w:p w:rsidR="00150481" w:rsidRPr="009B0662" w:rsidRDefault="00150481" w:rsidP="00114489">
      <w:pPr>
        <w:spacing w:before="0" w:after="0" w:line="480" w:lineRule="auto"/>
        <w:ind w:firstLineChars="200" w:firstLine="440"/>
        <w:rPr>
          <w:rFonts w:ascii="Times New Roman" w:eastAsiaTheme="minorEastAsia" w:hAnsi="Times New Roman" w:cs="Times New Roman"/>
          <w:lang w:eastAsia="zh-CN"/>
        </w:rPr>
      </w:pPr>
      <w:r w:rsidRPr="009B0662">
        <w:rPr>
          <w:rFonts w:ascii="Times New Roman" w:eastAsiaTheme="minorEastAsia" w:hAnsi="Times New Roman" w:cs="Times New Roman"/>
          <w:lang w:eastAsia="zh-CN"/>
        </w:rPr>
        <w:t>方法</w:t>
      </w:r>
      <w:r w:rsidR="00E87D49" w:rsidRPr="009B0662">
        <w:rPr>
          <w:rFonts w:ascii="Times New Roman" w:eastAsiaTheme="minorEastAsia" w:hAnsi="Times New Roman" w:cs="Times New Roman"/>
          <w:lang w:eastAsia="zh-CN"/>
        </w:rPr>
        <w:t>和结果</w:t>
      </w:r>
    </w:p>
    <w:p w:rsidR="00CB6A3D" w:rsidRDefault="00A92514" w:rsidP="00CB6A3D">
      <w:pPr>
        <w:spacing w:line="480" w:lineRule="auto"/>
        <w:ind w:firstLineChars="200" w:firstLine="440"/>
        <w:rPr>
          <w:rFonts w:ascii="Times New Roman" w:eastAsiaTheme="minorEastAsia" w:hAnsi="Times New Roman" w:cs="Times New Roman"/>
          <w:lang w:eastAsia="zh-CN"/>
        </w:rPr>
      </w:pPr>
      <w:r w:rsidRPr="009B0662">
        <w:rPr>
          <w:rFonts w:ascii="Times New Roman" w:eastAsiaTheme="minorEastAsia" w:hAnsi="Times New Roman" w:cs="Times New Roman"/>
          <w:lang w:eastAsia="zh-CN"/>
        </w:rPr>
        <w:t>本研究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使用</w:t>
      </w:r>
      <w:r w:rsidR="000C0E9E">
        <w:rPr>
          <w:rFonts w:ascii="Times New Roman" w:eastAsiaTheme="minorEastAsia" w:hAnsi="Times New Roman" w:cs="Times New Roman" w:hint="eastAsia"/>
          <w:lang w:eastAsia="zh-CN"/>
        </w:rPr>
        <w:t>2009-2013</w:t>
      </w:r>
      <w:r w:rsidR="000C0E9E">
        <w:rPr>
          <w:rFonts w:ascii="Times New Roman" w:eastAsiaTheme="minorEastAsia" w:hAnsi="Times New Roman" w:cs="Times New Roman" w:hint="eastAsia"/>
          <w:lang w:eastAsia="zh-CN"/>
        </w:rPr>
        <w:t>年</w:t>
      </w:r>
      <w:r w:rsidR="00150481" w:rsidRPr="009B0662">
        <w:rPr>
          <w:rFonts w:ascii="Times New Roman" w:eastAsiaTheme="minorEastAsia" w:hAnsi="Times New Roman" w:cs="Times New Roman"/>
          <w:lang w:eastAsia="zh-CN"/>
        </w:rPr>
        <w:t>中国</w:t>
      </w:r>
      <w:r w:rsidR="00150481" w:rsidRPr="009B0662">
        <w:rPr>
          <w:rFonts w:ascii="Times New Roman" w:eastAsiaTheme="minorEastAsia" w:hAnsi="Times New Roman" w:cs="Times New Roman"/>
          <w:lang w:eastAsia="zh-CN"/>
        </w:rPr>
        <w:t>31</w:t>
      </w:r>
      <w:r w:rsidR="00150481" w:rsidRPr="009B0662">
        <w:rPr>
          <w:rFonts w:ascii="Times New Roman" w:eastAsiaTheme="minorEastAsia" w:hAnsi="Times New Roman" w:cs="Times New Roman"/>
          <w:lang w:eastAsia="zh-CN"/>
        </w:rPr>
        <w:t>个省</w:t>
      </w:r>
      <w:r w:rsidRPr="009B0662">
        <w:rPr>
          <w:rFonts w:ascii="Times New Roman" w:eastAsiaTheme="minorEastAsia" w:hAnsi="Times New Roman" w:cs="Times New Roman"/>
          <w:lang w:eastAsia="zh-CN"/>
        </w:rPr>
        <w:t>（自治区</w:t>
      </w:r>
      <w:r w:rsidR="00E0759F" w:rsidRPr="009B0662">
        <w:rPr>
          <w:rFonts w:ascii="Times New Roman" w:eastAsiaTheme="minorEastAsia" w:hAnsi="Times New Roman" w:cs="Times New Roman"/>
          <w:lang w:eastAsia="zh-CN"/>
        </w:rPr>
        <w:t>、</w:t>
      </w:r>
      <w:r w:rsidR="009077AC" w:rsidRPr="009B0662">
        <w:rPr>
          <w:rFonts w:ascii="Times New Roman" w:eastAsiaTheme="minorEastAsia" w:hAnsi="Times New Roman" w:cs="Times New Roman"/>
          <w:lang w:eastAsia="zh-CN"/>
        </w:rPr>
        <w:t>直辖市</w:t>
      </w:r>
      <w:r w:rsidR="00E17E42" w:rsidRPr="009B0662">
        <w:rPr>
          <w:rFonts w:ascii="Times New Roman" w:eastAsiaTheme="minorEastAsia" w:hAnsi="Times New Roman" w:cs="Times New Roman"/>
          <w:lang w:eastAsia="zh-CN"/>
        </w:rPr>
        <w:t>）</w:t>
      </w:r>
      <w:r w:rsidRPr="009B0662">
        <w:rPr>
          <w:rFonts w:ascii="Times New Roman" w:eastAsiaTheme="minorEastAsia" w:hAnsi="Times New Roman" w:cs="Times New Roman"/>
          <w:lang w:eastAsia="zh-CN"/>
        </w:rPr>
        <w:t>手足口病</w:t>
      </w:r>
      <w:r w:rsidR="009077AC" w:rsidRPr="009B0662">
        <w:rPr>
          <w:rFonts w:ascii="Times New Roman" w:eastAsiaTheme="minorEastAsia" w:hAnsi="Times New Roman" w:cs="Times New Roman"/>
          <w:lang w:eastAsia="zh-CN"/>
        </w:rPr>
        <w:t>周报告发病</w:t>
      </w:r>
      <w:r w:rsidRPr="009B0662">
        <w:rPr>
          <w:rFonts w:ascii="Times New Roman" w:eastAsiaTheme="minorEastAsia" w:hAnsi="Times New Roman" w:cs="Times New Roman"/>
          <w:lang w:eastAsia="zh-CN"/>
        </w:rPr>
        <w:t>数</w:t>
      </w:r>
      <w:r w:rsidR="009077AC" w:rsidRPr="009B0662">
        <w:rPr>
          <w:rFonts w:ascii="Times New Roman" w:eastAsiaTheme="minorEastAsia" w:hAnsi="Times New Roman" w:cs="Times New Roman"/>
          <w:lang w:eastAsia="zh-CN"/>
        </w:rPr>
        <w:t>，</w:t>
      </w:r>
      <w:r w:rsidRPr="009B0662">
        <w:rPr>
          <w:rFonts w:ascii="Times New Roman" w:eastAsiaTheme="minorEastAsia" w:hAnsi="Times New Roman" w:cs="Times New Roman"/>
          <w:lang w:eastAsia="zh-CN"/>
        </w:rPr>
        <w:t>对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多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种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血清型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的</w:t>
      </w:r>
      <w:r w:rsidRPr="009B0662">
        <w:rPr>
          <w:rFonts w:ascii="Times New Roman" w:eastAsiaTheme="minorEastAsia" w:hAnsi="Times New Roman" w:cs="Times New Roman"/>
          <w:lang w:eastAsia="zh-CN"/>
        </w:rPr>
        <w:t>时间序列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易感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-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感染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-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康复（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TSIR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）流行病学模型</w:t>
      </w:r>
      <w:r w:rsidRPr="009B0662">
        <w:rPr>
          <w:rFonts w:ascii="Times New Roman" w:eastAsiaTheme="minorEastAsia" w:hAnsi="Times New Roman" w:cs="Times New Roman"/>
          <w:lang w:eastAsia="zh-CN"/>
        </w:rPr>
        <w:t>进行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了</w:t>
      </w:r>
      <w:r w:rsidRPr="009B0662">
        <w:rPr>
          <w:rFonts w:ascii="Times New Roman" w:eastAsiaTheme="minorEastAsia" w:hAnsi="Times New Roman" w:cs="Times New Roman"/>
          <w:lang w:eastAsia="zh-CN"/>
        </w:rPr>
        <w:t>拟合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。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两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种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血清型</w:t>
      </w:r>
      <w:r w:rsidR="00E85E11" w:rsidRPr="009B0662">
        <w:rPr>
          <w:rFonts w:ascii="Times New Roman" w:eastAsiaTheme="minorEastAsia" w:hAnsi="Times New Roman" w:cs="Times New Roman"/>
          <w:lang w:eastAsia="zh-CN"/>
        </w:rPr>
        <w:t>交叉保护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TSIR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模型</w:t>
      </w:r>
      <w:r w:rsidR="00E85E11" w:rsidRPr="009B0662">
        <w:rPr>
          <w:rFonts w:ascii="Times New Roman" w:eastAsiaTheme="minorEastAsia" w:hAnsi="Times New Roman" w:cs="Times New Roman"/>
          <w:lang w:eastAsia="zh-CN"/>
        </w:rPr>
        <w:t>拟合效果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极佳</w:t>
      </w:r>
      <w:r w:rsidR="00E85E11" w:rsidRPr="009B0662">
        <w:rPr>
          <w:rFonts w:ascii="Times New Roman" w:eastAsiaTheme="minorEastAsia" w:hAnsi="Times New Roman" w:cs="Times New Roman"/>
          <w:lang w:eastAsia="zh-CN"/>
        </w:rPr>
        <w:t>，能够</w:t>
      </w:r>
      <w:r w:rsidR="0017743B" w:rsidRPr="009B0662">
        <w:rPr>
          <w:rFonts w:ascii="Times New Roman" w:eastAsiaTheme="minorEastAsia" w:hAnsi="Times New Roman" w:cs="Times New Roman"/>
          <w:lang w:eastAsia="zh-CN"/>
        </w:rPr>
        <w:t>捕获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省级水平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传播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D30EC8" w:rsidRPr="009B0662">
        <w:rPr>
          <w:rFonts w:ascii="Times New Roman" w:eastAsiaTheme="minorEastAsia" w:hAnsi="Times New Roman" w:cs="Times New Roman"/>
          <w:lang w:eastAsia="zh-CN"/>
        </w:rPr>
        <w:t>季节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性</w:t>
      </w:r>
      <w:r w:rsidR="00B12598" w:rsidRPr="009B0662">
        <w:rPr>
          <w:rFonts w:ascii="Times New Roman" w:eastAsiaTheme="minorEastAsia" w:hAnsi="Times New Roman" w:cs="Times New Roman"/>
          <w:lang w:eastAsia="zh-CN"/>
        </w:rPr>
        <w:t>和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空间</w:t>
      </w:r>
      <w:r w:rsidR="00B12598" w:rsidRPr="009B0662">
        <w:rPr>
          <w:rFonts w:ascii="Times New Roman" w:eastAsiaTheme="minorEastAsia" w:hAnsi="Times New Roman" w:cs="Times New Roman"/>
          <w:lang w:eastAsia="zh-CN"/>
        </w:rPr>
        <w:t>异质性，</w:t>
      </w:r>
      <w:r w:rsidR="0017743B" w:rsidRPr="009B0662">
        <w:rPr>
          <w:rFonts w:ascii="Times New Roman" w:eastAsiaTheme="minorEastAsia" w:hAnsi="Times New Roman" w:cs="Times New Roman"/>
          <w:lang w:eastAsia="zh-CN"/>
        </w:rPr>
        <w:t>且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实际观察</w:t>
      </w:r>
      <w:r w:rsidR="00CE03AC">
        <w:rPr>
          <w:rFonts w:ascii="Times New Roman" w:eastAsiaTheme="minorEastAsia" w:hAnsi="Times New Roman" w:cs="Times New Roman" w:hint="eastAsia"/>
          <w:lang w:eastAsia="zh-CN"/>
        </w:rPr>
        <w:t>发病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序列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与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模型拟合</w:t>
      </w:r>
      <w:r w:rsidR="000A2C51" w:rsidRPr="009B0662">
        <w:rPr>
          <w:rFonts w:ascii="Times New Roman" w:eastAsiaTheme="minorEastAsia" w:hAnsi="Times New Roman" w:cs="Times New Roman"/>
          <w:lang w:eastAsia="zh-CN"/>
        </w:rPr>
        <w:t>的发病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序列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17743B" w:rsidRPr="009B0662">
        <w:rPr>
          <w:rFonts w:ascii="Times New Roman" w:eastAsiaTheme="minorEastAsia" w:hAnsi="Times New Roman" w:cs="Times New Roman"/>
          <w:lang w:eastAsia="zh-CN"/>
        </w:rPr>
        <w:t>相关性较</w:t>
      </w:r>
      <w:r w:rsidR="00B12598" w:rsidRPr="009B0662">
        <w:rPr>
          <w:rFonts w:ascii="Times New Roman" w:eastAsiaTheme="minorEastAsia" w:hAnsi="Times New Roman" w:cs="Times New Roman"/>
          <w:lang w:eastAsia="zh-CN"/>
        </w:rPr>
        <w:t>强</w:t>
      </w:r>
      <w:r w:rsidR="00F86092" w:rsidRPr="009B0662">
        <w:rPr>
          <w:rFonts w:ascii="Times New Roman" w:eastAsiaTheme="minorEastAsia" w:hAnsi="Times New Roman" w:cs="Times New Roman"/>
          <w:lang w:eastAsia="zh-CN"/>
        </w:rPr>
        <w:t>。</w:t>
      </w:r>
      <w:r w:rsidR="0017743B" w:rsidRPr="009B0662">
        <w:rPr>
          <w:rFonts w:ascii="Times New Roman" w:eastAsiaTheme="minorEastAsia" w:hAnsi="Times New Roman" w:cs="Times New Roman"/>
          <w:lang w:eastAsia="zh-CN"/>
        </w:rPr>
        <w:t>经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各省人口数加权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处理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，估算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>全国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和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CV-A16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的基本复制指数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>（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>R</w:t>
      </w:r>
      <w:r w:rsidR="001764B5" w:rsidRPr="009B0662">
        <w:rPr>
          <w:rFonts w:ascii="Times New Roman" w:eastAsiaTheme="minorEastAsia" w:hAnsi="Times New Roman" w:cs="Times New Roman"/>
          <w:vertAlign w:val="subscript"/>
          <w:lang w:eastAsia="zh-CN"/>
        </w:rPr>
        <w:t>0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>）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分别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为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26.63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 xml:space="preserve"> (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四分位数间距</w:t>
      </w:r>
      <w:r w:rsidR="000E2BE2">
        <w:rPr>
          <w:rFonts w:ascii="Times New Roman" w:eastAsiaTheme="minorEastAsia" w:hAnsi="Times New Roman" w:cs="Times New Roman"/>
          <w:lang w:eastAsia="zh-CN"/>
        </w:rPr>
        <w:t xml:space="preserve">: 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23.14</w:t>
      </w:r>
      <w:r w:rsidR="000E2BE2">
        <w:rPr>
          <w:rFonts w:ascii="Times New Roman" w:eastAsiaTheme="minorEastAsia" w:hAnsi="Times New Roman" w:cs="Times New Roman"/>
          <w:lang w:eastAsia="zh-CN"/>
        </w:rPr>
        <w:t xml:space="preserve">- 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30.40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)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和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27.13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 xml:space="preserve"> (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四分位数间距</w:t>
      </w:r>
      <w:r w:rsidR="000E2BE2">
        <w:rPr>
          <w:rFonts w:ascii="Times New Roman" w:eastAsiaTheme="minorEastAsia" w:hAnsi="Times New Roman" w:cs="Times New Roman"/>
          <w:lang w:eastAsia="zh-CN"/>
        </w:rPr>
        <w:t xml:space="preserve">: 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23.15</w:t>
      </w:r>
      <w:r w:rsidR="00F509A3" w:rsidRPr="009B0662">
        <w:rPr>
          <w:rFonts w:ascii="Times New Roman" w:eastAsiaTheme="minorEastAsia" w:hAnsi="Times New Roman" w:cs="Times New Roman"/>
          <w:lang w:eastAsia="zh-CN"/>
        </w:rPr>
        <w:t>-</w:t>
      </w:r>
      <w:r w:rsidR="000E2BE2"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0E2BE2">
        <w:rPr>
          <w:rFonts w:ascii="Times New Roman" w:eastAsiaTheme="minorEastAsia" w:hAnsi="Times New Roman" w:cs="Times New Roman" w:hint="eastAsia"/>
          <w:lang w:eastAsia="zh-CN"/>
        </w:rPr>
        <w:t>31.34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 xml:space="preserve">) </w:t>
      </w:r>
      <w:r w:rsidR="00DA4EC7" w:rsidRPr="009B0662">
        <w:rPr>
          <w:rFonts w:ascii="Times New Roman" w:eastAsiaTheme="minorEastAsia" w:hAnsi="Times New Roman" w:cs="Times New Roman"/>
          <w:lang w:eastAsia="zh-CN"/>
        </w:rPr>
        <w:t>。虽然各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省</w:t>
      </w:r>
      <w:r w:rsidR="00DA4EC7" w:rsidRPr="009B0662">
        <w:rPr>
          <w:rFonts w:ascii="Times New Roman" w:eastAsiaTheme="minorEastAsia" w:hAnsi="Times New Roman" w:cs="Times New Roman"/>
          <w:lang w:eastAsia="zh-CN"/>
        </w:rPr>
        <w:t>间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估计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的基本复制指数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>有</w:t>
      </w:r>
      <w:r w:rsidR="00DA4EC7" w:rsidRPr="009B0662">
        <w:rPr>
          <w:rFonts w:ascii="Times New Roman" w:eastAsiaTheme="minorEastAsia" w:hAnsi="Times New Roman" w:cs="Times New Roman"/>
          <w:lang w:eastAsia="zh-CN"/>
        </w:rPr>
        <w:t>一定</w:t>
      </w:r>
      <w:r w:rsidR="001764B5" w:rsidRPr="009B0662">
        <w:rPr>
          <w:rFonts w:ascii="Times New Roman" w:eastAsiaTheme="minorEastAsia" w:hAnsi="Times New Roman" w:cs="Times New Roman"/>
          <w:lang w:eastAsia="zh-CN"/>
        </w:rPr>
        <w:t>差异</w:t>
      </w:r>
      <w:r w:rsidR="00DA4EC7" w:rsidRPr="009B0662">
        <w:rPr>
          <w:rFonts w:ascii="Times New Roman" w:eastAsiaTheme="minorEastAsia" w:hAnsi="Times New Roman" w:cs="Times New Roman"/>
          <w:lang w:eastAsia="zh-CN"/>
        </w:rPr>
        <w:t>，</w:t>
      </w:r>
      <w:r w:rsidR="006325EE" w:rsidRPr="009B0662">
        <w:rPr>
          <w:rFonts w:ascii="Times New Roman" w:eastAsiaTheme="minorEastAsia" w:hAnsi="Times New Roman" w:cs="Times New Roman"/>
          <w:lang w:eastAsia="zh-CN"/>
        </w:rPr>
        <w:t>但</w:t>
      </w:r>
      <w:r w:rsidR="006325EE" w:rsidRPr="009B0662">
        <w:rPr>
          <w:rFonts w:ascii="Times New Roman" w:hAnsi="Times New Roman" w:cs="Times New Roman"/>
          <w:lang w:eastAsia="zh-CN"/>
        </w:rPr>
        <w:t>EV-A71</w:t>
      </w:r>
      <w:r w:rsidR="006325EE" w:rsidRPr="009B0662">
        <w:rPr>
          <w:rFonts w:ascii="Times New Roman" w:cs="Times New Roman"/>
          <w:lang w:eastAsia="zh-CN"/>
        </w:rPr>
        <w:t>疫苗</w:t>
      </w:r>
      <w:r w:rsidR="00DA4EC7" w:rsidRPr="009B0662">
        <w:rPr>
          <w:rFonts w:ascii="Times New Roman" w:cs="Times New Roman"/>
          <w:lang w:eastAsia="zh-CN"/>
        </w:rPr>
        <w:t>免疫的</w:t>
      </w:r>
      <w:r w:rsidR="006325EE" w:rsidRPr="009B0662">
        <w:rPr>
          <w:rFonts w:ascii="Times New Roman" w:cs="Times New Roman"/>
          <w:lang w:eastAsia="zh-CN"/>
        </w:rPr>
        <w:t>整体</w:t>
      </w:r>
      <w:r w:rsidR="00DA4EC7" w:rsidRPr="009B0662">
        <w:rPr>
          <w:rFonts w:ascii="Times New Roman" w:cs="Times New Roman"/>
          <w:lang w:eastAsia="zh-CN"/>
        </w:rPr>
        <w:t>预期</w:t>
      </w:r>
      <w:r w:rsidR="006325EE" w:rsidRPr="009B0662">
        <w:rPr>
          <w:rFonts w:ascii="Times New Roman" w:cs="Times New Roman"/>
          <w:lang w:eastAsia="zh-CN"/>
        </w:rPr>
        <w:t>效果</w:t>
      </w:r>
      <w:r w:rsidR="003E01E0" w:rsidRPr="009B0662">
        <w:rPr>
          <w:rFonts w:ascii="Times New Roman" w:cs="Times New Roman"/>
          <w:lang w:eastAsia="zh-CN"/>
        </w:rPr>
        <w:t>针对此</w:t>
      </w:r>
      <w:r w:rsidR="00DA4EC7" w:rsidRPr="009B0662">
        <w:rPr>
          <w:rFonts w:ascii="Times New Roman" w:cs="Times New Roman"/>
          <w:lang w:eastAsia="zh-CN"/>
        </w:rPr>
        <w:t>差异</w:t>
      </w:r>
      <w:r w:rsidR="006325EE" w:rsidRPr="009B0662">
        <w:rPr>
          <w:rFonts w:ascii="Times New Roman" w:cs="Times New Roman"/>
          <w:lang w:eastAsia="zh-CN"/>
        </w:rPr>
        <w:t>仍是稳定的</w:t>
      </w:r>
      <w:r w:rsidR="00662840" w:rsidRPr="009B0662">
        <w:rPr>
          <w:rFonts w:ascii="Times New Roman" w:eastAsiaTheme="minorEastAsia" w:hAnsi="Times New Roman" w:cs="Times New Roman"/>
          <w:lang w:eastAsia="zh-CN"/>
        </w:rPr>
        <w:t>。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EV-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lastRenderedPageBreak/>
        <w:t>A71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疫苗覆盖率越高，</w:t>
      </w:r>
      <w:r w:rsidR="00D6319C" w:rsidRPr="009B0662">
        <w:rPr>
          <w:rFonts w:ascii="Times New Roman" w:eastAsiaTheme="minorEastAsia" w:hAnsi="Times New Roman" w:cs="Times New Roman"/>
          <w:lang w:eastAsia="zh-CN"/>
        </w:rPr>
        <w:t>预测的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8C4AE3">
        <w:rPr>
          <w:rFonts w:ascii="Times New Roman" w:eastAsiaTheme="minorEastAsia" w:hAnsi="Times New Roman" w:cs="Times New Roman"/>
          <w:lang w:eastAsia="zh-CN"/>
        </w:rPr>
        <w:t>相关手足口病发病</w:t>
      </w:r>
      <w:r w:rsidR="008C4AE3">
        <w:rPr>
          <w:rFonts w:ascii="Times New Roman" w:eastAsiaTheme="minorEastAsia" w:hAnsi="Times New Roman" w:cs="Times New Roman" w:hint="eastAsia"/>
          <w:lang w:eastAsia="zh-CN"/>
        </w:rPr>
        <w:t>数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下降越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显著</w:t>
      </w:r>
      <w:r w:rsidR="00D6319C" w:rsidRPr="009B0662">
        <w:rPr>
          <w:rFonts w:ascii="Times New Roman" w:eastAsiaTheme="minorEastAsia" w:hAnsi="Times New Roman" w:cs="Times New Roman"/>
          <w:lang w:eastAsia="zh-CN"/>
        </w:rPr>
        <w:t>；</w:t>
      </w:r>
      <w:r w:rsidR="00D6319C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D6319C" w:rsidRPr="009B0662">
        <w:rPr>
          <w:rFonts w:ascii="Times New Roman" w:eastAsiaTheme="minorEastAsia" w:hAnsi="Times New Roman" w:cs="Times New Roman"/>
          <w:lang w:eastAsia="zh-CN"/>
        </w:rPr>
        <w:t>疫苗使用后，各省</w:t>
      </w:r>
      <w:r w:rsidR="00E53C37" w:rsidRPr="009B0662">
        <w:rPr>
          <w:rFonts w:ascii="Times New Roman" w:eastAsiaTheme="minorEastAsia" w:hAnsi="Times New Roman" w:cs="Times New Roman"/>
          <w:lang w:eastAsia="zh-CN"/>
        </w:rPr>
        <w:t>CV-A16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相关手足口病</w:t>
      </w:r>
      <w:r w:rsidR="008C4AE3">
        <w:rPr>
          <w:rFonts w:ascii="Times New Roman" w:eastAsiaTheme="minorEastAsia" w:hAnsi="Times New Roman" w:cs="Times New Roman"/>
          <w:lang w:eastAsia="zh-CN"/>
        </w:rPr>
        <w:t>发病</w:t>
      </w:r>
      <w:r w:rsidR="008C4AE3">
        <w:rPr>
          <w:rFonts w:ascii="Times New Roman" w:eastAsiaTheme="minorEastAsia" w:hAnsi="Times New Roman" w:cs="Times New Roman" w:hint="eastAsia"/>
          <w:lang w:eastAsia="zh-CN"/>
        </w:rPr>
        <w:t>数</w:t>
      </w:r>
      <w:r w:rsidR="00E0759F" w:rsidRPr="009B0662">
        <w:rPr>
          <w:rFonts w:ascii="Times New Roman" w:eastAsiaTheme="minorEastAsia" w:hAnsi="Times New Roman" w:cs="Times New Roman"/>
          <w:lang w:eastAsia="zh-CN"/>
        </w:rPr>
        <w:t>与疫苗</w:t>
      </w:r>
      <w:r w:rsidR="00D6319C" w:rsidRPr="009B0662">
        <w:rPr>
          <w:rFonts w:ascii="Times New Roman" w:eastAsiaTheme="minorEastAsia" w:hAnsi="Times New Roman" w:cs="Times New Roman"/>
          <w:lang w:eastAsia="zh-CN"/>
        </w:rPr>
        <w:t>使用</w:t>
      </w:r>
      <w:r w:rsidR="00E0759F" w:rsidRPr="009B0662">
        <w:rPr>
          <w:rFonts w:ascii="Times New Roman" w:eastAsiaTheme="minorEastAsia" w:hAnsi="Times New Roman" w:cs="Times New Roman"/>
          <w:lang w:eastAsia="zh-CN"/>
        </w:rPr>
        <w:t>前</w:t>
      </w:r>
      <w:r w:rsidR="008A0E5E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E0759F" w:rsidRPr="009B0662">
        <w:rPr>
          <w:rFonts w:ascii="Times New Roman" w:eastAsiaTheme="minorEastAsia" w:hAnsi="Times New Roman" w:cs="Times New Roman"/>
          <w:lang w:eastAsia="zh-CN"/>
        </w:rPr>
        <w:t>水平相近或仅有</w:t>
      </w:r>
      <w:r w:rsidR="00D6319C" w:rsidRPr="009B0662">
        <w:rPr>
          <w:rFonts w:ascii="Times New Roman" w:eastAsiaTheme="minorEastAsia" w:hAnsi="Times New Roman" w:cs="Times New Roman"/>
          <w:lang w:eastAsia="zh-CN"/>
        </w:rPr>
        <w:t>轻微</w:t>
      </w:r>
      <w:r w:rsidR="005E65D5" w:rsidRPr="009B0662">
        <w:rPr>
          <w:rFonts w:ascii="Times New Roman" w:eastAsiaTheme="minorEastAsia" w:hAnsi="Times New Roman" w:cs="Times New Roman"/>
          <w:lang w:eastAsia="zh-CN"/>
        </w:rPr>
        <w:t>上升</w:t>
      </w:r>
      <w:r w:rsidR="00E4169F" w:rsidRPr="009B0662">
        <w:rPr>
          <w:rFonts w:ascii="Times New Roman" w:eastAsiaTheme="minorEastAsia" w:hAnsi="Times New Roman" w:cs="Times New Roman"/>
          <w:lang w:eastAsia="zh-CN"/>
        </w:rPr>
        <w:t>。</w:t>
      </w:r>
      <w:r w:rsidR="00E53C37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E53C37" w:rsidRPr="009B0662">
        <w:rPr>
          <w:rFonts w:ascii="Times New Roman" w:eastAsiaTheme="minorEastAsia" w:hAnsi="Times New Roman" w:cs="Times New Roman"/>
          <w:lang w:eastAsia="zh-CN"/>
        </w:rPr>
        <w:t>或</w:t>
      </w:r>
      <w:r w:rsidR="00E53C37" w:rsidRPr="009B0662"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E53C37" w:rsidRPr="00387260">
        <w:rPr>
          <w:rFonts w:ascii="Times New Roman" w:eastAsiaTheme="minorEastAsia" w:hAnsi="Times New Roman" w:cs="Times New Roman"/>
          <w:lang w:eastAsia="zh-CN"/>
        </w:rPr>
        <w:t>CV-A16</w:t>
      </w:r>
      <w:r w:rsidR="00E4169F" w:rsidRPr="00387260">
        <w:rPr>
          <w:rFonts w:ascii="Times New Roman" w:eastAsiaTheme="minorEastAsia" w:hAnsi="Times New Roman" w:cs="Times New Roman"/>
          <w:lang w:eastAsia="zh-CN"/>
        </w:rPr>
        <w:t>感染</w:t>
      </w:r>
      <w:r w:rsidR="00E53C37" w:rsidRPr="00387260">
        <w:rPr>
          <w:rFonts w:ascii="Times New Roman" w:eastAsiaTheme="minorEastAsia" w:hAnsi="Times New Roman" w:cs="Times New Roman"/>
          <w:lang w:eastAsia="zh-CN"/>
        </w:rPr>
        <w:t>后</w:t>
      </w:r>
      <w:r w:rsidR="00E40243" w:rsidRPr="00387260">
        <w:rPr>
          <w:rFonts w:ascii="Times New Roman" w:eastAsiaTheme="minorEastAsia" w:hAnsi="Times New Roman" w:cs="Times New Roman"/>
          <w:lang w:eastAsia="zh-CN"/>
        </w:rPr>
        <w:t>的交叉免疫保护</w:t>
      </w:r>
      <w:r w:rsidR="00E4169F" w:rsidRPr="00387260">
        <w:rPr>
          <w:rFonts w:ascii="Times New Roman" w:eastAsiaTheme="minorEastAsia" w:hAnsi="Times New Roman" w:cs="Times New Roman"/>
          <w:lang w:eastAsia="zh-CN"/>
        </w:rPr>
        <w:t>在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68</w:t>
      </w:r>
      <w:r w:rsidR="00E4169F" w:rsidRPr="00387260">
        <w:rPr>
          <w:rFonts w:ascii="Times New Roman" w:eastAsiaTheme="minorEastAsia" w:hAnsi="Times New Roman" w:cs="Times New Roman"/>
          <w:lang w:eastAsia="zh-CN"/>
        </w:rPr>
        <w:t>%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（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95%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可信区间：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37%-96%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）</w:t>
      </w:r>
      <w:r w:rsidR="00E40243" w:rsidRPr="00387260">
        <w:rPr>
          <w:rFonts w:ascii="Times New Roman" w:eastAsiaTheme="minorEastAsia" w:hAnsi="Times New Roman" w:cs="Times New Roman"/>
          <w:lang w:eastAsia="zh-CN"/>
        </w:rPr>
        <w:t>的</w:t>
      </w:r>
      <w:r w:rsidR="00E4169F" w:rsidRPr="00387260">
        <w:rPr>
          <w:rFonts w:ascii="Times New Roman" w:eastAsiaTheme="minorEastAsia" w:hAnsi="Times New Roman" w:cs="Times New Roman"/>
          <w:lang w:eastAsia="zh-CN"/>
        </w:rPr>
        <w:t>人群中</w:t>
      </w:r>
      <w:r w:rsidR="00E40243" w:rsidRPr="00387260">
        <w:rPr>
          <w:rFonts w:ascii="Times New Roman" w:eastAsiaTheme="minorEastAsia" w:hAnsi="Times New Roman" w:cs="Times New Roman"/>
          <w:lang w:eastAsia="zh-CN"/>
        </w:rPr>
        <w:t>可持续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9.95</w:t>
      </w:r>
      <w:r w:rsidR="00E4169F" w:rsidRPr="00387260">
        <w:rPr>
          <w:rFonts w:ascii="Times New Roman" w:eastAsiaTheme="minorEastAsia" w:hAnsi="Times New Roman" w:cs="Times New Roman"/>
          <w:lang w:eastAsia="zh-CN"/>
        </w:rPr>
        <w:t>周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（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95%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可信区间：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3.39-23.40</w:t>
      </w:r>
      <w:r w:rsidR="00315EAE">
        <w:rPr>
          <w:rFonts w:ascii="Times New Roman" w:eastAsiaTheme="minorEastAsia" w:hAnsi="Times New Roman" w:cs="Times New Roman" w:hint="eastAsia"/>
          <w:lang w:eastAsia="zh-CN"/>
        </w:rPr>
        <w:t>）</w:t>
      </w:r>
      <w:r w:rsidR="00E53C37" w:rsidRPr="00387260">
        <w:rPr>
          <w:rFonts w:ascii="Times New Roman" w:eastAsiaTheme="minorEastAsia" w:hAnsi="Times New Roman" w:cs="Times New Roman"/>
          <w:lang w:eastAsia="zh-CN"/>
        </w:rPr>
        <w:t>。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本研究的预测结果受到发病时间序列</w:t>
      </w:r>
      <w:r w:rsidR="00CE6889" w:rsidRPr="00387260">
        <w:rPr>
          <w:rFonts w:ascii="Times New Roman" w:eastAsiaTheme="minorEastAsia" w:hAnsi="Times New Roman" w:cs="Times New Roman" w:hint="eastAsia"/>
          <w:lang w:eastAsia="zh-CN"/>
        </w:rPr>
        <w:t>较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短、</w:t>
      </w:r>
      <w:r w:rsidR="00CE6889" w:rsidRPr="00387260">
        <w:rPr>
          <w:rFonts w:ascii="Times New Roman" w:eastAsiaTheme="minorEastAsia" w:hAnsi="Times New Roman" w:cs="Times New Roman" w:hint="eastAsia"/>
          <w:lang w:eastAsia="zh-CN"/>
        </w:rPr>
        <w:t>标本采集量较少、可能存在其他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未鉴定血清型</w:t>
      </w:r>
      <w:r w:rsidR="00CE6889" w:rsidRPr="00387260">
        <w:rPr>
          <w:rFonts w:ascii="Times New Roman" w:eastAsiaTheme="minorEastAsia" w:hAnsi="Times New Roman" w:cs="Times New Roman" w:hint="eastAsia"/>
          <w:lang w:eastAsia="zh-CN"/>
        </w:rPr>
        <w:t>的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肠道病毒共同循环</w:t>
      </w:r>
      <w:r w:rsidR="00CE6889" w:rsidRPr="00387260">
        <w:rPr>
          <w:rFonts w:ascii="Times New Roman" w:eastAsiaTheme="minorEastAsia" w:hAnsi="Times New Roman" w:cs="Times New Roman" w:hint="eastAsia"/>
          <w:lang w:eastAsia="zh-CN"/>
        </w:rPr>
        <w:t>等因素影响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，但</w:t>
      </w:r>
      <w:r w:rsidR="00CE6889" w:rsidRPr="00387260">
        <w:rPr>
          <w:rFonts w:ascii="Times New Roman" w:eastAsiaTheme="minorEastAsia" w:hAnsi="Times New Roman" w:cs="Times New Roman" w:hint="eastAsia"/>
          <w:lang w:eastAsia="zh-CN"/>
        </w:rPr>
        <w:t>敏感性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分析结果表明</w:t>
      </w:r>
      <w:r w:rsidR="00483B36" w:rsidRPr="00387260">
        <w:rPr>
          <w:rFonts w:ascii="Times New Roman" w:eastAsiaTheme="minorEastAsia" w:hAnsi="Times New Roman" w:cs="Times New Roman" w:hint="eastAsia"/>
          <w:lang w:eastAsia="zh-CN"/>
        </w:rPr>
        <w:t>预测结果是稳定的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，疫苗</w:t>
      </w:r>
      <w:r w:rsidR="00CE6889" w:rsidRPr="00387260">
        <w:rPr>
          <w:rFonts w:ascii="Times New Roman" w:eastAsiaTheme="minorEastAsia" w:hAnsi="Times New Roman" w:cs="Times New Roman" w:hint="eastAsia"/>
          <w:lang w:eastAsia="zh-CN"/>
        </w:rPr>
        <w:t>可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显著降低</w:t>
      </w:r>
      <w:r w:rsidR="00CB6A3D" w:rsidRPr="00387260">
        <w:rPr>
          <w:rFonts w:ascii="Times New Roman" w:eastAsiaTheme="minorEastAsia" w:hAnsi="Times New Roman" w:cs="Times New Roman"/>
          <w:lang w:eastAsia="zh-CN"/>
        </w:rPr>
        <w:t>EV-A71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的发病水平，</w:t>
      </w:r>
      <w:r w:rsidR="00CE6889" w:rsidRPr="00387260">
        <w:rPr>
          <w:rFonts w:ascii="Times New Roman" w:eastAsiaTheme="minorEastAsia" w:hAnsi="Times New Roman" w:cs="Times New Roman" w:hint="eastAsia"/>
          <w:lang w:eastAsia="zh-CN"/>
        </w:rPr>
        <w:t>且</w:t>
      </w:r>
      <w:r w:rsidR="00923852" w:rsidRPr="00387260">
        <w:rPr>
          <w:rFonts w:ascii="Times New Roman" w:eastAsiaTheme="minorEastAsia" w:hAnsi="Times New Roman" w:cs="Times New Roman"/>
          <w:lang w:eastAsia="zh-CN"/>
        </w:rPr>
        <w:t>CV-A16</w:t>
      </w:r>
      <w:r w:rsidR="00923852" w:rsidRPr="00387260">
        <w:rPr>
          <w:rFonts w:ascii="Times New Roman" w:eastAsiaTheme="minorEastAsia" w:hAnsi="Times New Roman" w:cs="Times New Roman" w:hint="eastAsia"/>
          <w:lang w:eastAsia="zh-CN"/>
        </w:rPr>
        <w:t>的发病水平</w:t>
      </w:r>
      <w:r w:rsidR="00CB6A3D" w:rsidRPr="00387260">
        <w:rPr>
          <w:rFonts w:ascii="Times New Roman" w:eastAsiaTheme="minorEastAsia" w:hAnsi="Times New Roman" w:cs="Times New Roman" w:hint="eastAsia"/>
          <w:lang w:eastAsia="zh-CN"/>
        </w:rPr>
        <w:t>不会出现明显的</w:t>
      </w:r>
      <w:r w:rsidR="00923852" w:rsidRPr="00387260">
        <w:rPr>
          <w:rFonts w:ascii="Times New Roman" w:eastAsiaTheme="minorEastAsia" w:hAnsi="Times New Roman" w:cs="Times New Roman" w:hint="eastAsia"/>
          <w:lang w:eastAsia="zh-CN"/>
        </w:rPr>
        <w:t>、竞争性的上升</w:t>
      </w:r>
      <w:r w:rsidR="00EF241F" w:rsidRPr="00387260">
        <w:rPr>
          <w:rFonts w:ascii="Times New Roman" w:eastAsiaTheme="minorEastAsia" w:hAnsi="Times New Roman" w:cs="Times New Roman" w:hint="eastAsia"/>
          <w:lang w:eastAsia="zh-CN"/>
        </w:rPr>
        <w:t>。</w:t>
      </w:r>
    </w:p>
    <w:p w:rsidR="00D446F8" w:rsidRPr="009B0662" w:rsidRDefault="00D446F8" w:rsidP="00114489">
      <w:pPr>
        <w:pStyle w:val="Default"/>
        <w:spacing w:line="480" w:lineRule="auto"/>
        <w:rPr>
          <w:sz w:val="23"/>
          <w:szCs w:val="23"/>
        </w:rPr>
      </w:pPr>
    </w:p>
    <w:p w:rsidR="008F0E5C" w:rsidRPr="009B0662" w:rsidRDefault="00662840" w:rsidP="00114489">
      <w:pPr>
        <w:spacing w:line="480" w:lineRule="auto"/>
        <w:ind w:firstLineChars="200" w:firstLine="440"/>
        <w:rPr>
          <w:rFonts w:ascii="Times New Roman" w:eastAsiaTheme="minorEastAsia" w:hAnsi="Times New Roman" w:cs="Times New Roman"/>
          <w:lang w:eastAsia="zh-CN"/>
        </w:rPr>
      </w:pPr>
      <w:r w:rsidRPr="009B0662">
        <w:rPr>
          <w:rFonts w:ascii="Times New Roman" w:eastAsiaTheme="minorEastAsia" w:hAnsi="Times New Roman" w:cs="Times New Roman"/>
          <w:lang w:eastAsia="zh-CN"/>
        </w:rPr>
        <w:t>结论</w:t>
      </w:r>
    </w:p>
    <w:p w:rsidR="006A36D6" w:rsidRPr="009B0662" w:rsidRDefault="00844D0B" w:rsidP="00114489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 xml:space="preserve">    </w:t>
      </w:r>
      <w:r w:rsidR="000066DA" w:rsidRPr="009B0662">
        <w:rPr>
          <w:rFonts w:ascii="Times New Roman" w:eastAsiaTheme="minorEastAsia" w:hAnsi="Times New Roman" w:cs="Times New Roman"/>
          <w:lang w:eastAsia="zh-CN"/>
        </w:rPr>
        <w:t>本研究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所用</w:t>
      </w:r>
      <w:r w:rsidR="000066DA" w:rsidRPr="009B0662">
        <w:rPr>
          <w:rFonts w:ascii="Times New Roman" w:eastAsiaTheme="minorEastAsia" w:hAnsi="Times New Roman" w:cs="Times New Roman"/>
          <w:lang w:eastAsia="zh-CN"/>
        </w:rPr>
        <w:t>模型</w:t>
      </w:r>
      <w:r w:rsidR="0086770E" w:rsidRPr="009B0662">
        <w:rPr>
          <w:rFonts w:ascii="Times New Roman" w:eastAsiaTheme="minorEastAsia" w:hAnsi="Times New Roman" w:cs="Times New Roman"/>
          <w:lang w:eastAsia="zh-CN"/>
        </w:rPr>
        <w:t>有效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地</w:t>
      </w:r>
      <w:r w:rsidR="0086770E" w:rsidRPr="009B0662">
        <w:rPr>
          <w:rFonts w:ascii="Times New Roman" w:eastAsiaTheme="minorEastAsia" w:hAnsi="Times New Roman" w:cs="Times New Roman"/>
          <w:lang w:eastAsia="zh-CN"/>
        </w:rPr>
        <w:t>拟合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了</w:t>
      </w:r>
      <w:r w:rsidR="0086770E" w:rsidRPr="009B0662">
        <w:rPr>
          <w:rFonts w:ascii="Times New Roman" w:eastAsiaTheme="minorEastAsia" w:hAnsi="Times New Roman" w:cs="Times New Roman"/>
          <w:lang w:eastAsia="zh-CN"/>
        </w:rPr>
        <w:t>实际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观察的</w:t>
      </w:r>
      <w:r w:rsidR="0086770E" w:rsidRPr="009B0662">
        <w:rPr>
          <w:rFonts w:ascii="Times New Roman" w:eastAsiaTheme="minorEastAsia" w:hAnsi="Times New Roman" w:cs="Times New Roman"/>
          <w:lang w:eastAsia="zh-CN"/>
        </w:rPr>
        <w:t>发病序列，提示群体免疫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驱动了由</w:t>
      </w:r>
      <w:r w:rsidR="0086770E" w:rsidRPr="009B0662">
        <w:rPr>
          <w:rFonts w:ascii="Times New Roman" w:eastAsiaTheme="minorEastAsia" w:hAnsi="Times New Roman" w:cs="Times New Roman"/>
          <w:lang w:eastAsia="zh-CN"/>
        </w:rPr>
        <w:t>多种肠道病毒血清型引起</w:t>
      </w:r>
      <w:r w:rsidR="009B48D0">
        <w:rPr>
          <w:rFonts w:ascii="Times New Roman" w:eastAsiaTheme="minorEastAsia" w:hAnsi="Times New Roman" w:cs="Times New Roman" w:hint="eastAsia"/>
          <w:lang w:eastAsia="zh-CN"/>
        </w:rPr>
        <w:t>的</w:t>
      </w:r>
      <w:r w:rsidR="00561159" w:rsidRPr="009B0662">
        <w:rPr>
          <w:rFonts w:ascii="Times New Roman" w:eastAsiaTheme="minorEastAsia" w:hAnsi="Times New Roman" w:cs="Times New Roman"/>
          <w:lang w:eastAsia="zh-CN"/>
        </w:rPr>
        <w:t>手足口病</w:t>
      </w:r>
      <w:r w:rsidR="0086770E" w:rsidRPr="009B0662">
        <w:rPr>
          <w:rFonts w:ascii="Times New Roman" w:eastAsiaTheme="minorEastAsia" w:hAnsi="Times New Roman" w:cs="Times New Roman"/>
          <w:lang w:eastAsia="zh-CN"/>
        </w:rPr>
        <w:t>流行。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研究结果</w:t>
      </w:r>
      <w:r w:rsidR="003233E5" w:rsidRPr="009B0662">
        <w:rPr>
          <w:rFonts w:ascii="Times New Roman" w:eastAsiaTheme="minorEastAsia" w:hAnsi="Times New Roman" w:cs="Times New Roman"/>
          <w:lang w:eastAsia="zh-CN"/>
        </w:rPr>
        <w:t>表明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 xml:space="preserve">EV-A71 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和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 xml:space="preserve"> CV-A16 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两种</w:t>
      </w:r>
      <w:r w:rsidR="0045644C" w:rsidRPr="009B0662">
        <w:rPr>
          <w:rFonts w:ascii="Times New Roman" w:eastAsiaTheme="minorEastAsia" w:hAnsi="Times New Roman" w:cs="Times New Roman"/>
          <w:lang w:eastAsia="zh-CN"/>
        </w:rPr>
        <w:t>血清型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间可</w:t>
      </w:r>
      <w:r w:rsidR="0045644C" w:rsidRPr="009B0662">
        <w:rPr>
          <w:rFonts w:ascii="Times New Roman" w:eastAsiaTheme="minorEastAsia" w:hAnsi="Times New Roman" w:cs="Times New Roman"/>
          <w:lang w:eastAsia="zh-CN"/>
        </w:rPr>
        <w:t>产生短暂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45644C" w:rsidRPr="009B0662">
        <w:rPr>
          <w:rFonts w:ascii="Times New Roman" w:eastAsiaTheme="minorEastAsia" w:hAnsi="Times New Roman" w:cs="Times New Roman"/>
          <w:lang w:eastAsia="zh-CN"/>
        </w:rPr>
        <w:t>交叉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免疫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保护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效果。为</w:t>
      </w:r>
      <w:r w:rsidR="0045644C" w:rsidRPr="009B0662">
        <w:rPr>
          <w:rFonts w:ascii="Times New Roman" w:eastAsiaTheme="minorEastAsia" w:hAnsi="Times New Roman" w:cs="Times New Roman"/>
          <w:lang w:eastAsia="zh-CN"/>
        </w:rPr>
        <w:t>消除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45644C" w:rsidRPr="009B0662">
        <w:rPr>
          <w:rFonts w:ascii="Times New Roman" w:eastAsiaTheme="minorEastAsia" w:hAnsi="Times New Roman" w:cs="Times New Roman"/>
          <w:lang w:eastAsia="zh-CN"/>
        </w:rPr>
        <w:t>持续循环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，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疫苗</w:t>
      </w:r>
      <w:r w:rsidR="009A66AF" w:rsidRPr="009B0662">
        <w:rPr>
          <w:rFonts w:ascii="Times New Roman" w:eastAsiaTheme="minorEastAsia" w:hAnsi="Times New Roman" w:cs="Times New Roman"/>
          <w:lang w:eastAsia="zh-CN"/>
        </w:rPr>
        <w:t>接种</w:t>
      </w:r>
      <w:r w:rsidR="0045644C" w:rsidRPr="009B0662">
        <w:rPr>
          <w:rFonts w:ascii="Times New Roman" w:eastAsiaTheme="minorEastAsia" w:hAnsi="Times New Roman" w:cs="Times New Roman"/>
          <w:lang w:eastAsia="zh-CN"/>
        </w:rPr>
        <w:t>需达到较高的接种</w:t>
      </w:r>
      <w:r w:rsidR="009A66AF" w:rsidRPr="009B0662">
        <w:rPr>
          <w:rFonts w:ascii="Times New Roman" w:eastAsiaTheme="minorEastAsia" w:hAnsi="Times New Roman" w:cs="Times New Roman"/>
          <w:lang w:eastAsia="zh-CN"/>
        </w:rPr>
        <w:t>率</w:t>
      </w:r>
      <w:r w:rsidR="00C96AD1" w:rsidRPr="009B0662">
        <w:rPr>
          <w:rFonts w:ascii="Times New Roman" w:eastAsiaTheme="minorEastAsia" w:hAnsi="Times New Roman" w:cs="Times New Roman"/>
          <w:lang w:eastAsia="zh-CN"/>
        </w:rPr>
        <w:t>。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与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疫苗接种所带来的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 xml:space="preserve">EV-A71 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相关手足口病疾病负担的下降程度相比，该</w:t>
      </w:r>
      <w:r w:rsidR="001048D1" w:rsidRPr="009B0662">
        <w:rPr>
          <w:rFonts w:ascii="Times New Roman" w:eastAsiaTheme="minorEastAsia" w:hAnsi="Times New Roman" w:cs="Times New Roman"/>
          <w:lang w:eastAsia="zh-CN"/>
        </w:rPr>
        <w:t>疫苗接种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后的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 xml:space="preserve">CV-A16 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血清型替换是</w:t>
      </w:r>
      <w:r w:rsidR="001048D1" w:rsidRPr="009B0662">
        <w:rPr>
          <w:rFonts w:ascii="Times New Roman" w:eastAsiaTheme="minorEastAsia" w:hAnsi="Times New Roman" w:cs="Times New Roman"/>
          <w:lang w:eastAsia="zh-CN"/>
        </w:rPr>
        <w:t>短暂的，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且由此引起的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CV-A16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发病</w:t>
      </w:r>
      <w:r w:rsidR="008C4AE3">
        <w:rPr>
          <w:rFonts w:ascii="Times New Roman" w:eastAsiaTheme="minorEastAsia" w:hAnsi="Times New Roman" w:cs="Times New Roman" w:hint="eastAsia"/>
          <w:lang w:eastAsia="zh-CN"/>
        </w:rPr>
        <w:t>数</w:t>
      </w:r>
      <w:r w:rsidR="002F37F9" w:rsidRPr="009B0662">
        <w:rPr>
          <w:rFonts w:ascii="Times New Roman" w:eastAsiaTheme="minorEastAsia" w:hAnsi="Times New Roman" w:cs="Times New Roman"/>
          <w:lang w:eastAsia="zh-CN"/>
        </w:rPr>
        <w:t>上升是</w:t>
      </w:r>
      <w:r w:rsidR="00112367" w:rsidRPr="009B0662">
        <w:rPr>
          <w:rFonts w:ascii="Times New Roman" w:eastAsiaTheme="minorEastAsia" w:hAnsi="Times New Roman" w:cs="Times New Roman"/>
          <w:lang w:eastAsia="zh-CN"/>
        </w:rPr>
        <w:t>轻微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的</w:t>
      </w:r>
      <w:r w:rsidR="001048D1" w:rsidRPr="009B0662">
        <w:rPr>
          <w:rFonts w:ascii="Times New Roman" w:eastAsiaTheme="minorEastAsia" w:hAnsi="Times New Roman" w:cs="Times New Roman"/>
          <w:lang w:eastAsia="zh-CN"/>
        </w:rPr>
        <w:t>。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因此，在婴幼儿中</w:t>
      </w:r>
      <w:r w:rsidR="001A5E8B" w:rsidRPr="009B0662">
        <w:rPr>
          <w:rFonts w:ascii="Times New Roman" w:eastAsiaTheme="minorEastAsia" w:hAnsi="Times New Roman" w:cs="Times New Roman"/>
          <w:lang w:eastAsia="zh-CN"/>
        </w:rPr>
        <w:t>实施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大规模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EV-A71</w:t>
      </w:r>
      <w:r w:rsidR="0095627A" w:rsidRPr="009B0662">
        <w:rPr>
          <w:rFonts w:ascii="Times New Roman" w:eastAsiaTheme="minorEastAsia" w:hAnsi="Times New Roman" w:cs="Times New Roman"/>
          <w:lang w:eastAsia="zh-CN"/>
        </w:rPr>
        <w:t>疫苗</w:t>
      </w:r>
      <w:r w:rsidR="001A5E8B" w:rsidRPr="009B0662">
        <w:rPr>
          <w:rFonts w:ascii="Times New Roman" w:eastAsiaTheme="minorEastAsia" w:hAnsi="Times New Roman" w:cs="Times New Roman"/>
          <w:lang w:eastAsia="zh-CN"/>
        </w:rPr>
        <w:t>免疫接种，</w:t>
      </w:r>
      <w:r w:rsidR="001048D1" w:rsidRPr="009B0662">
        <w:rPr>
          <w:rFonts w:ascii="Times New Roman" w:eastAsiaTheme="minorEastAsia" w:hAnsi="Times New Roman" w:cs="Times New Roman"/>
          <w:lang w:eastAsia="zh-CN"/>
        </w:rPr>
        <w:t>将</w:t>
      </w:r>
      <w:r w:rsidR="007D3928" w:rsidRPr="009B0662">
        <w:rPr>
          <w:rFonts w:ascii="Times New Roman" w:eastAsiaTheme="minorEastAsia" w:hAnsi="Times New Roman" w:cs="Times New Roman"/>
          <w:lang w:eastAsia="zh-CN"/>
        </w:rPr>
        <w:t>会</w:t>
      </w:r>
      <w:r w:rsidR="00104CEB" w:rsidRPr="009B0662">
        <w:rPr>
          <w:rFonts w:ascii="Times New Roman" w:eastAsiaTheme="minorEastAsia" w:hAnsi="Times New Roman" w:cs="Times New Roman"/>
          <w:lang w:eastAsia="zh-CN"/>
        </w:rPr>
        <w:t>显著降低</w:t>
      </w:r>
      <w:r w:rsidR="007D3928" w:rsidRPr="009B0662">
        <w:rPr>
          <w:rFonts w:ascii="Times New Roman" w:eastAsiaTheme="minorEastAsia" w:hAnsi="Times New Roman" w:cs="Times New Roman"/>
          <w:lang w:eastAsia="zh-CN"/>
        </w:rPr>
        <w:t>手足口病的</w:t>
      </w:r>
      <w:r w:rsidR="00104CEB" w:rsidRPr="009B0662">
        <w:rPr>
          <w:rFonts w:ascii="Times New Roman" w:eastAsiaTheme="minorEastAsia" w:hAnsi="Times New Roman" w:cs="Times New Roman"/>
          <w:lang w:eastAsia="zh-CN"/>
        </w:rPr>
        <w:t>总体</w:t>
      </w:r>
      <w:r w:rsidR="007D3928" w:rsidRPr="009B0662">
        <w:rPr>
          <w:rFonts w:ascii="Times New Roman" w:eastAsiaTheme="minorEastAsia" w:hAnsi="Times New Roman" w:cs="Times New Roman"/>
          <w:lang w:eastAsia="zh-CN"/>
        </w:rPr>
        <w:t>疾病</w:t>
      </w:r>
      <w:r w:rsidR="00104CEB" w:rsidRPr="009B0662">
        <w:rPr>
          <w:rFonts w:ascii="Times New Roman" w:eastAsiaTheme="minorEastAsia" w:hAnsi="Times New Roman" w:cs="Times New Roman"/>
          <w:lang w:eastAsia="zh-CN"/>
        </w:rPr>
        <w:t>负担</w:t>
      </w:r>
      <w:r w:rsidR="00B75704" w:rsidRPr="009B0662">
        <w:rPr>
          <w:rFonts w:ascii="Times New Roman" w:eastAsiaTheme="minorEastAsia" w:hAnsi="Times New Roman" w:cs="Times New Roman"/>
          <w:lang w:eastAsia="zh-CN"/>
        </w:rPr>
        <w:t>。</w:t>
      </w:r>
    </w:p>
    <w:sectPr w:rsidR="006A36D6" w:rsidRPr="009B0662" w:rsidSect="00AE0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20" w:rsidRDefault="00091D20" w:rsidP="005D605A">
      <w:pPr>
        <w:spacing w:before="0" w:after="0"/>
      </w:pPr>
      <w:r>
        <w:separator/>
      </w:r>
    </w:p>
  </w:endnote>
  <w:endnote w:type="continuationSeparator" w:id="0">
    <w:p w:rsidR="00091D20" w:rsidRDefault="00091D20" w:rsidP="005D60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AE" w:rsidRDefault="00315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AE" w:rsidRDefault="00315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AE" w:rsidRDefault="0031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20" w:rsidRDefault="00091D20" w:rsidP="005D605A">
      <w:pPr>
        <w:spacing w:before="0" w:after="0"/>
      </w:pPr>
      <w:r>
        <w:separator/>
      </w:r>
    </w:p>
  </w:footnote>
  <w:footnote w:type="continuationSeparator" w:id="0">
    <w:p w:rsidR="00091D20" w:rsidRDefault="00091D20" w:rsidP="005D60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AE" w:rsidRDefault="00315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C5" w:rsidRDefault="002411C5" w:rsidP="00315EA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AE" w:rsidRDefault="00315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5"/>
    <w:rsid w:val="000066DA"/>
    <w:rsid w:val="000657D8"/>
    <w:rsid w:val="00067335"/>
    <w:rsid w:val="00070390"/>
    <w:rsid w:val="00087278"/>
    <w:rsid w:val="00091D20"/>
    <w:rsid w:val="000A172A"/>
    <w:rsid w:val="000A2C51"/>
    <w:rsid w:val="000B79E6"/>
    <w:rsid w:val="000C0E9E"/>
    <w:rsid w:val="000D70FB"/>
    <w:rsid w:val="000E2BE2"/>
    <w:rsid w:val="001048D1"/>
    <w:rsid w:val="00104CEB"/>
    <w:rsid w:val="00112367"/>
    <w:rsid w:val="00114489"/>
    <w:rsid w:val="00120717"/>
    <w:rsid w:val="00132D0E"/>
    <w:rsid w:val="001439A1"/>
    <w:rsid w:val="00150481"/>
    <w:rsid w:val="001508D3"/>
    <w:rsid w:val="0016040B"/>
    <w:rsid w:val="001764B5"/>
    <w:rsid w:val="0017743B"/>
    <w:rsid w:val="00197898"/>
    <w:rsid w:val="001A5E8B"/>
    <w:rsid w:val="001C3C7C"/>
    <w:rsid w:val="001E03C9"/>
    <w:rsid w:val="00211023"/>
    <w:rsid w:val="002411C5"/>
    <w:rsid w:val="002472FC"/>
    <w:rsid w:val="0026339D"/>
    <w:rsid w:val="00275458"/>
    <w:rsid w:val="002C1587"/>
    <w:rsid w:val="002F37F9"/>
    <w:rsid w:val="00315A14"/>
    <w:rsid w:val="00315EAE"/>
    <w:rsid w:val="003233E5"/>
    <w:rsid w:val="003426F1"/>
    <w:rsid w:val="0035531D"/>
    <w:rsid w:val="00387260"/>
    <w:rsid w:val="003B1D86"/>
    <w:rsid w:val="003E01E0"/>
    <w:rsid w:val="003E29BF"/>
    <w:rsid w:val="00432C91"/>
    <w:rsid w:val="004365E8"/>
    <w:rsid w:val="00452BCE"/>
    <w:rsid w:val="0045644C"/>
    <w:rsid w:val="00483B36"/>
    <w:rsid w:val="004847F4"/>
    <w:rsid w:val="0048614C"/>
    <w:rsid w:val="004B06AF"/>
    <w:rsid w:val="004D7F6C"/>
    <w:rsid w:val="00535656"/>
    <w:rsid w:val="00540D4E"/>
    <w:rsid w:val="00561159"/>
    <w:rsid w:val="00566E3C"/>
    <w:rsid w:val="005725FB"/>
    <w:rsid w:val="00576BFA"/>
    <w:rsid w:val="00576DA5"/>
    <w:rsid w:val="00581662"/>
    <w:rsid w:val="005D605A"/>
    <w:rsid w:val="005E3154"/>
    <w:rsid w:val="005E65D5"/>
    <w:rsid w:val="006325EE"/>
    <w:rsid w:val="00634E62"/>
    <w:rsid w:val="00647BA6"/>
    <w:rsid w:val="00662840"/>
    <w:rsid w:val="006A36D6"/>
    <w:rsid w:val="006E32B7"/>
    <w:rsid w:val="0071626E"/>
    <w:rsid w:val="00741C79"/>
    <w:rsid w:val="00752F37"/>
    <w:rsid w:val="007946DB"/>
    <w:rsid w:val="007B1B77"/>
    <w:rsid w:val="007C1750"/>
    <w:rsid w:val="007D3928"/>
    <w:rsid w:val="007F19CE"/>
    <w:rsid w:val="00844D0B"/>
    <w:rsid w:val="0086770E"/>
    <w:rsid w:val="00883F7E"/>
    <w:rsid w:val="008A0E5E"/>
    <w:rsid w:val="008C2177"/>
    <w:rsid w:val="008C4AE3"/>
    <w:rsid w:val="008E47F5"/>
    <w:rsid w:val="008E7D3F"/>
    <w:rsid w:val="008F0E5C"/>
    <w:rsid w:val="009077AC"/>
    <w:rsid w:val="00923852"/>
    <w:rsid w:val="00932F45"/>
    <w:rsid w:val="00953F5D"/>
    <w:rsid w:val="0095627A"/>
    <w:rsid w:val="009A57D8"/>
    <w:rsid w:val="009A66AF"/>
    <w:rsid w:val="009B0662"/>
    <w:rsid w:val="009B48D0"/>
    <w:rsid w:val="009C4B75"/>
    <w:rsid w:val="009D0C1B"/>
    <w:rsid w:val="009F11A9"/>
    <w:rsid w:val="00A102D1"/>
    <w:rsid w:val="00A231E7"/>
    <w:rsid w:val="00A43D52"/>
    <w:rsid w:val="00A63A8A"/>
    <w:rsid w:val="00A92514"/>
    <w:rsid w:val="00A94CFA"/>
    <w:rsid w:val="00AC7A21"/>
    <w:rsid w:val="00AE04FB"/>
    <w:rsid w:val="00AE6C99"/>
    <w:rsid w:val="00B12598"/>
    <w:rsid w:val="00B27E31"/>
    <w:rsid w:val="00B536D6"/>
    <w:rsid w:val="00B60C77"/>
    <w:rsid w:val="00B75704"/>
    <w:rsid w:val="00BC1206"/>
    <w:rsid w:val="00BC3EC9"/>
    <w:rsid w:val="00BD3045"/>
    <w:rsid w:val="00C60D86"/>
    <w:rsid w:val="00C6697A"/>
    <w:rsid w:val="00C66AFE"/>
    <w:rsid w:val="00C82153"/>
    <w:rsid w:val="00C96AD1"/>
    <w:rsid w:val="00C97817"/>
    <w:rsid w:val="00CA21ED"/>
    <w:rsid w:val="00CA335D"/>
    <w:rsid w:val="00CA4045"/>
    <w:rsid w:val="00CB6A3D"/>
    <w:rsid w:val="00CD4E32"/>
    <w:rsid w:val="00CE03AC"/>
    <w:rsid w:val="00CE6889"/>
    <w:rsid w:val="00CF1D02"/>
    <w:rsid w:val="00D02C04"/>
    <w:rsid w:val="00D070E2"/>
    <w:rsid w:val="00D0777C"/>
    <w:rsid w:val="00D21FCB"/>
    <w:rsid w:val="00D30EC8"/>
    <w:rsid w:val="00D42639"/>
    <w:rsid w:val="00D43E0E"/>
    <w:rsid w:val="00D446F8"/>
    <w:rsid w:val="00D46870"/>
    <w:rsid w:val="00D6319C"/>
    <w:rsid w:val="00D648BB"/>
    <w:rsid w:val="00D90FC7"/>
    <w:rsid w:val="00DA4EC7"/>
    <w:rsid w:val="00DD2062"/>
    <w:rsid w:val="00DD7078"/>
    <w:rsid w:val="00E0759F"/>
    <w:rsid w:val="00E17E42"/>
    <w:rsid w:val="00E2158A"/>
    <w:rsid w:val="00E22423"/>
    <w:rsid w:val="00E23C86"/>
    <w:rsid w:val="00E40243"/>
    <w:rsid w:val="00E4169F"/>
    <w:rsid w:val="00E53C37"/>
    <w:rsid w:val="00E85E11"/>
    <w:rsid w:val="00E87D49"/>
    <w:rsid w:val="00EA131A"/>
    <w:rsid w:val="00EB5E1F"/>
    <w:rsid w:val="00EE2AFE"/>
    <w:rsid w:val="00EE6817"/>
    <w:rsid w:val="00EF241F"/>
    <w:rsid w:val="00EF442A"/>
    <w:rsid w:val="00F009CB"/>
    <w:rsid w:val="00F21BE6"/>
    <w:rsid w:val="00F2724B"/>
    <w:rsid w:val="00F34271"/>
    <w:rsid w:val="00F509A3"/>
    <w:rsid w:val="00F8108F"/>
    <w:rsid w:val="00F86092"/>
    <w:rsid w:val="00FA6C93"/>
    <w:rsid w:val="00FC0E30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D4252-FDD2-4FC7-B98A-4D1FD9D2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5A"/>
    <w:pPr>
      <w:spacing w:before="120" w:after="120"/>
    </w:pPr>
    <w:rPr>
      <w:rFonts w:eastAsia="SimSu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D60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605A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605A"/>
    <w:rPr>
      <w:sz w:val="18"/>
      <w:szCs w:val="18"/>
    </w:rPr>
  </w:style>
  <w:style w:type="paragraph" w:customStyle="1" w:styleId="Paragraph">
    <w:name w:val="Paragraph"/>
    <w:basedOn w:val="Normal"/>
    <w:uiPriority w:val="99"/>
    <w:rsid w:val="005D605A"/>
    <w:pPr>
      <w:spacing w:after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A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A"/>
    <w:rPr>
      <w:rFonts w:eastAsia="SimSun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64B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4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4B5"/>
    <w:rPr>
      <w:rFonts w:eastAsia="SimSun"/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4B5"/>
    <w:rPr>
      <w:rFonts w:eastAsia="SimSun"/>
      <w:b/>
      <w:bCs/>
      <w:kern w:val="0"/>
      <w:sz w:val="22"/>
      <w:lang w:eastAsia="en-US"/>
    </w:rPr>
  </w:style>
  <w:style w:type="paragraph" w:customStyle="1" w:styleId="Default">
    <w:name w:val="Default"/>
    <w:rsid w:val="00241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817"/>
    <w:rPr>
      <w:color w:val="0000FF" w:themeColor="hyperlink"/>
      <w:u w:val="single"/>
    </w:rPr>
  </w:style>
  <w:style w:type="paragraph" w:customStyle="1" w:styleId="tgt">
    <w:name w:val="tgt"/>
    <w:basedOn w:val="Normal"/>
    <w:rsid w:val="00EE6817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5344-5E9F-4C95-9676-221E3760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Christine Fears</cp:lastModifiedBy>
  <cp:revision>2</cp:revision>
  <dcterms:created xsi:type="dcterms:W3CDTF">2016-01-05T12:25:00Z</dcterms:created>
  <dcterms:modified xsi:type="dcterms:W3CDTF">2016-01-05T12:25:00Z</dcterms:modified>
</cp:coreProperties>
</file>