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B" w:rsidRPr="00152AFA" w:rsidRDefault="00D1724B" w:rsidP="00D1724B">
      <w:pPr>
        <w:pStyle w:val="Heading2"/>
        <w:numPr>
          <w:ilvl w:val="0"/>
          <w:numId w:val="0"/>
        </w:numPr>
        <w:rPr>
          <w:lang w:val="en-US"/>
        </w:rPr>
      </w:pPr>
      <w:bookmarkStart w:id="0" w:name="_Toc370135314"/>
      <w:bookmarkStart w:id="1" w:name="_Toc379828938"/>
      <w:proofErr w:type="gramStart"/>
      <w:r w:rsidRPr="00152AFA">
        <w:rPr>
          <w:lang w:val="en-US"/>
        </w:rPr>
        <w:t xml:space="preserve">Supplementary table </w:t>
      </w:r>
      <w:r w:rsidR="00A14B67">
        <w:rPr>
          <w:lang w:val="en-US"/>
        </w:rPr>
        <w:t>5</w:t>
      </w:r>
      <w:r w:rsidR="00A14B67" w:rsidRPr="00152AFA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Vaccine efficacy against all episodes of clinical malaria (primary and secondary case definitions) during a 18-month follow-up period post dose-3 in the 5-17 months age category, ordered by increasing malaria </w:t>
      </w:r>
      <w:r w:rsidR="0064188B" w:rsidRPr="00152AFA">
        <w:rPr>
          <w:lang w:val="en-US"/>
        </w:rPr>
        <w:t>incidence</w:t>
      </w:r>
      <w:bookmarkEnd w:id="0"/>
      <w:bookmarkEnd w:id="1"/>
    </w:p>
    <w:tbl>
      <w:tblPr>
        <w:tblW w:w="13234" w:type="dxa"/>
        <w:jc w:val="center"/>
        <w:tblLayout w:type="fixed"/>
        <w:tblLook w:val="00A0" w:firstRow="1" w:lastRow="0" w:firstColumn="1" w:lastColumn="0" w:noHBand="0" w:noVBand="0"/>
      </w:tblPr>
      <w:tblGrid>
        <w:gridCol w:w="4020"/>
        <w:gridCol w:w="886"/>
        <w:gridCol w:w="886"/>
        <w:gridCol w:w="886"/>
        <w:gridCol w:w="886"/>
        <w:gridCol w:w="842"/>
        <w:gridCol w:w="842"/>
        <w:gridCol w:w="842"/>
        <w:gridCol w:w="842"/>
        <w:gridCol w:w="1451"/>
        <w:gridCol w:w="851"/>
      </w:tblGrid>
      <w:tr w:rsidR="00D1724B" w:rsidRPr="00152AFA" w:rsidTr="004F78ED">
        <w:trPr>
          <w:trHeight w:val="51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RTS,S/AS01 vaccine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Control vaccine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Protective Efficacy</w:t>
            </w:r>
          </w:p>
        </w:tc>
      </w:tr>
      <w:tr w:rsidR="0064188B" w:rsidRPr="00152AFA" w:rsidTr="00B95B4B">
        <w:trPr>
          <w:trHeight w:val="3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C95815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Clinical malaria - primary case definition </w:t>
            </w: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br/>
              <w:t>(per-protocol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children (N)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episodes (n)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Person years at risk (T)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children (N)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episodes (n)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Person years at risk (T)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450.7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171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229.3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77.4 (26.4-93.1)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0.013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817.3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418.7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61.1 (34.8-76.8)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551.0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283.4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42.5 (11.2-62.7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0.012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648.4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321.7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65.4 (46.2-77.7)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498.5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253.6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42.4 (12.9-61.9)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0.009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511.7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256.2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1.16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53.6 (40.3-63.8)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811.1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407.7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40.2 (28.5-49.9)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602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801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793.3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1.01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296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702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379.2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1.85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47.2 (39.1-54.2)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498.4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247.9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2.4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41.1 (33.6-47.8)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1216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605.8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2.01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1002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302.6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3.31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43.3 (33.1-51.9)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4557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4257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6186.0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0.69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2328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3639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3100.4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1.17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45.7 (41.7-49.5)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&lt;0.001</w:t>
            </w:r>
          </w:p>
        </w:tc>
      </w:tr>
      <w:tr w:rsidR="0077581B" w:rsidRPr="00152AFA" w:rsidTr="00C95815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C95815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</w:t>
            </w:r>
            <w:r w:rsidR="00A1297A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1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(p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450.6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171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229.2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72.3 (22.8-90.0)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0.014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816.9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418.3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56.8 (30.9-73.0)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549.3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281.6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49.8 (26.0-65.9)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647.1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320.4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61.4 (44.1-73.4)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497.1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252.2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0.48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46.6 (23.2-62.8)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503.6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249.4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1.91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50.2 (38.2-59.8)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787.3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390.7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3.06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41.0 (29.8-50.4)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lastRenderedPageBreak/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602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1260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775.5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1.62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296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1049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365.6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2.87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46.3 (38.8-52.9)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491.5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1.8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242.0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41.7 (35.5-47.4)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575.8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1527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282.3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5.41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41.4 (31.8-49.7)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4557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6616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6094.5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1.09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2328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5409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3031.8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1.78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45.4 (41.6-48.9)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&lt;0.001</w:t>
            </w:r>
          </w:p>
        </w:tc>
      </w:tr>
      <w:tr w:rsidR="0077581B" w:rsidRPr="00152AFA" w:rsidTr="00C95815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2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297A" w:rsidRPr="00152AFA" w:rsidRDefault="00A1297A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3162FC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450.7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229.3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77.4 (26.4-93.1)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2FC" w:rsidRPr="00152AFA" w:rsidRDefault="003162FC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0.013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817.1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418.5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59.1 (33.4-75.0)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550.6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283.1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42.9 (13.0-62.5)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0.009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462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648.1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321.2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65.5 (47.9-77.1)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498.0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253.3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EA6DCE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78ED">
              <w:rPr>
                <w:sz w:val="20"/>
                <w:szCs w:val="20"/>
                <w:lang w:val="en-US"/>
              </w:rPr>
              <w:t>42.</w:t>
            </w:r>
            <w:r w:rsidR="00EA6DCE" w:rsidRPr="004F78ED">
              <w:rPr>
                <w:sz w:val="20"/>
                <w:szCs w:val="20"/>
                <w:lang w:val="en-US"/>
              </w:rPr>
              <w:t>0</w:t>
            </w:r>
            <w:r w:rsidRPr="00152AFA">
              <w:rPr>
                <w:sz w:val="20"/>
                <w:szCs w:val="20"/>
                <w:lang w:val="en-US"/>
              </w:rPr>
              <w:t xml:space="preserve"> (14.4-60.8)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0.006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509.6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254.8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49.9 (37.0-60.2)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1127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805.4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403.7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A912EE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40</w:t>
            </w:r>
            <w:r w:rsidR="00207DC4" w:rsidRPr="00152AFA">
              <w:rPr>
                <w:rFonts w:cs="Arial"/>
                <w:sz w:val="20"/>
                <w:szCs w:val="20"/>
                <w:lang w:val="en-US"/>
              </w:rPr>
              <w:t>.1 (28.9-49.6)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207DC4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873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790.5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757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377.1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2.01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46.7 (38.8-53.5)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7DC4" w:rsidRPr="00152AFA" w:rsidRDefault="00207DC4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B96622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495.2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245.0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2.74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42.0 (35.2-48.1)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B96622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1346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600.8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1076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299.7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3.59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41.4 (31.2-50.0)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152AFA" w:rsidRDefault="00B96622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B96622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4780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6165.8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0.78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2328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3085.6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45.0 (41.1-48.6)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622" w:rsidRPr="004F78ED" w:rsidRDefault="00B96622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rFonts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77581B" w:rsidRPr="00152AFA" w:rsidTr="00C95815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3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</w:t>
            </w:r>
            <w:r w:rsidR="00C95815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6622" w:rsidRPr="00152AFA" w:rsidRDefault="00B96622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201F40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450.7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229.3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83.0 (37.2-95.4)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0.008</w:t>
            </w:r>
          </w:p>
        </w:tc>
      </w:tr>
      <w:tr w:rsidR="00201F40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817.6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419.0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67.2 (40.4-81.9)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201F40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551.4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283.9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40.1 (3.4-62.9)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F40" w:rsidRPr="00152AFA" w:rsidRDefault="00201F40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0.035</w:t>
            </w:r>
          </w:p>
        </w:tc>
      </w:tr>
      <w:tr w:rsidR="00B73E91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462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649.0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322.3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69.1 (49.1-81.2)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B73E91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499.1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254.2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38.5 (5.0-60.1)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0.028</w:t>
            </w:r>
          </w:p>
        </w:tc>
      </w:tr>
      <w:tr w:rsidR="00B73E91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514.0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258.6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53.6 (38.8-64.9)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B73E91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817.2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411.8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1.59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41.2 (29.2-51.2)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E91" w:rsidRPr="00152AFA" w:rsidRDefault="00B73E91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&lt;0.001</w:t>
            </w:r>
          </w:p>
        </w:tc>
      </w:tr>
      <w:tr w:rsidR="008D5427" w:rsidRPr="00152AFA" w:rsidTr="004F78ED">
        <w:trPr>
          <w:trHeight w:val="170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709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796.8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382.3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1.62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47.0 (38.2-54.6)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D5427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251.2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40.6 (32.3-47.9)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D5427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1082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610.9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1.77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895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306.8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2.92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EA6DCE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43.0 (</w:t>
            </w:r>
            <w:r w:rsidRPr="004F78ED">
              <w:rPr>
                <w:sz w:val="20"/>
                <w:szCs w:val="20"/>
                <w:lang w:val="en-US"/>
              </w:rPr>
              <w:t>32.</w:t>
            </w:r>
            <w:r w:rsidR="00EA6DCE" w:rsidRPr="004F78ED">
              <w:rPr>
                <w:sz w:val="20"/>
                <w:szCs w:val="20"/>
                <w:lang w:val="en-US"/>
              </w:rPr>
              <w:t>3</w:t>
            </w:r>
            <w:r w:rsidRPr="00152AFA">
              <w:rPr>
                <w:sz w:val="20"/>
                <w:szCs w:val="20"/>
                <w:lang w:val="en-US"/>
              </w:rPr>
              <w:t>-51.9)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152AFA" w:rsidRDefault="008D542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D5427" w:rsidRPr="00152AFA" w:rsidTr="004F78ED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3652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6208.9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0.59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2328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3144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3119.3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1.01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45.9 (41.6-49.8)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5427" w:rsidRPr="004F78ED" w:rsidRDefault="008D542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B95B4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75164B">
            <w:pPr>
              <w:pStyle w:val="tabletextNS"/>
              <w:keepNext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lastRenderedPageBreak/>
              <w:t xml:space="preserve">Clinical malaria - primary case definition </w:t>
            </w: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br/>
              <w:t>(</w:t>
            </w:r>
            <w:r w:rsidR="0075164B"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i</w:t>
            </w: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ntention-to-treat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8F71F0">
            <w:pPr>
              <w:pStyle w:val="tabletextNS"/>
              <w:keepNext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8F71F0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578.1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291.3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69.8 (16.7-89.0)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0.020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994.8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497.2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55.7 (30.6-71.7)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7C5038" w:rsidP="00471BC1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1066.2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548.2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49.9 (9.2-72.4)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0.022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724.0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366.4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47.7 (23.0-64.5)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913.1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146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443.6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49.5 (29.2-64.0)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845.4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412.4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47.7 (27.7-62.2)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637.7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0.54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341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307.9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1.11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52.9 (40.3-62.9)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1096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978.9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858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482.8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1.78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41.7 (30.8-50.9)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B808CA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999.9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0.97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821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482.3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44.7 (36.9-51.5)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8CA" w:rsidRPr="00152AFA" w:rsidRDefault="00B808CA" w:rsidP="00471BC1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F71F0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798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584.7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1.36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290.1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2.31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40.9 (33.8-47.3)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F71F0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1410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736.4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1.91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1143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362.3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3.15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42.4 (32.8-50.7)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8F71F0" w:rsidRPr="00152AFA" w:rsidTr="00B95B4B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B808CA">
            <w:pPr>
              <w:pStyle w:val="tabletextNS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</w:t>
            </w:r>
            <w:r w:rsidR="00B808CA" w:rsidRPr="00152AFA">
              <w:rPr>
                <w:b/>
                <w:sz w:val="20"/>
                <w:lang w:val="en-US"/>
              </w:rPr>
              <w:t>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5949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9059.1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2974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4484.4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45.1 (41.4-48.7)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1F0" w:rsidRPr="00152AFA" w:rsidRDefault="008F71F0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B95B4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75164B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1 (</w:t>
            </w:r>
            <w:r w:rsidR="0075164B"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i</w:t>
            </w: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578.0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291.2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62.2 (8.4-84.4)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0.031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994.3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496.7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53.6 (28.9-69.8)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7C5038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1064.5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547.0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0.15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6003FD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46.</w:t>
            </w:r>
            <w:r w:rsidR="006003FD" w:rsidRPr="00152AFA">
              <w:rPr>
                <w:sz w:val="20"/>
                <w:lang w:val="en-US"/>
              </w:rPr>
              <w:t>5</w:t>
            </w:r>
            <w:r w:rsidRPr="00152AFA">
              <w:rPr>
                <w:sz w:val="20"/>
                <w:lang w:val="en-US"/>
              </w:rPr>
              <w:t xml:space="preserve"> (15.5-66.1)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0.007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721.8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364.1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51.6 (31.5-65.8)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909.6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441.5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0.46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43.7 (24.8-57.8)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842.7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410.1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0.49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47.2 (29.8-60.3)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606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627.5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0.97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551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300.0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1.84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49.3 (38.1-58.6)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1838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950.1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1.93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1347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463.7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40.8 (29.8-50.0)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1593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975.8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1.63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1260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465.2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2.71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42.2 (34.9-48.7)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1049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575.</w:t>
            </w:r>
            <w:r w:rsidR="006003FD" w:rsidRPr="00152AFA">
              <w:rPr>
                <w:sz w:val="20"/>
                <w:lang w:val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1.82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867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282.5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3.07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40.6 (34.7-45.9)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699.7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3.36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1760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338.6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5.2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39.2 (29.8-47.4)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</w:t>
            </w:r>
            <w:r w:rsidR="00D567E3" w:rsidRPr="00152AFA">
              <w:rPr>
                <w:sz w:val="20"/>
                <w:lang w:val="en-US"/>
              </w:rPr>
              <w:t>0</w:t>
            </w:r>
            <w:r w:rsidRPr="00152AFA">
              <w:rPr>
                <w:sz w:val="20"/>
                <w:lang w:val="en-US"/>
              </w:rPr>
              <w:t>.001</w:t>
            </w:r>
          </w:p>
        </w:tc>
      </w:tr>
      <w:tr w:rsidR="002125A4" w:rsidRPr="00152AFA" w:rsidTr="00B95B4B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2125A4">
            <w:pPr>
              <w:pStyle w:val="tabletextNS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5949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8207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8939.1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2974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6482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4400.6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1.47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43.1 (39.5-46.5)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5A4" w:rsidRPr="00152AFA" w:rsidRDefault="002125A4" w:rsidP="00916D45">
            <w:pPr>
              <w:pStyle w:val="tabletextNS"/>
              <w:jc w:val="center"/>
              <w:rPr>
                <w:b/>
                <w:sz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  <w:tr w:rsidR="00CA412E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75164B">
            <w:pPr>
              <w:pStyle w:val="tabletextNS"/>
              <w:keepNext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lastRenderedPageBreak/>
              <w:t>Clinical malaria - secondary case definition 2 (</w:t>
            </w:r>
            <w:r w:rsidR="0075164B"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i</w:t>
            </w: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2A216C">
            <w:pPr>
              <w:pStyle w:val="tabletextNS"/>
              <w:keepNext/>
              <w:jc w:val="center"/>
              <w:rPr>
                <w:sz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44717B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578.1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291.3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69.8 (16.7-89.0)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0.020</w:t>
            </w:r>
          </w:p>
        </w:tc>
      </w:tr>
      <w:tr w:rsidR="0044717B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994.5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497.0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52.8 (27.3-69.4)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44717B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1066.0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548.2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45.7 (3.9-69.3)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0.036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723.6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366.0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48.4 (24.7-64.6)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912.1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442.9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0.37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47.6 (27.9-62.0)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844.4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411.9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0.37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45.6 (25.7-60.2)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634.9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0.65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388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306.1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1.27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49.9 (37.7-59.8)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1278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971.9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1.31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973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478.5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2.03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40.7 (29.9-49.8)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1078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995.7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1.08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890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479.6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1.86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43.2 (35.5-49.9)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917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580.1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1.58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770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286.2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2.69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41.3 (34.9-47.1)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1575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730.1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2.16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1231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358.9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3.43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40.1 (30.6-48.4)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44717B" w:rsidRPr="00152AFA" w:rsidTr="002A216C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5949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5825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9031.4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2974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4775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4466.5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1.07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43.6 (39.9-47.0)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717B" w:rsidRPr="00152AFA" w:rsidRDefault="0044717B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  <w:tr w:rsidR="00CA412E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75164B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3 (</w:t>
            </w:r>
            <w:r w:rsidR="0075164B"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i</w:t>
            </w: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5815" w:rsidRPr="00152AFA" w:rsidRDefault="00C95815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578.2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291.3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77.6 (27.1-93.1)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sz w:val="20"/>
                <w:lang w:val="en-US"/>
              </w:rPr>
              <w:t>0.013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995.3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497.6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60.0 (32.3-76.4)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1066.5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548.6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47.2 (-1.7-72.6)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0.056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724.6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367.2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42.0 (11.0-62.2)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0.012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914.5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444.6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53.6 (32.4-68.1)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846.4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413.4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46.9 (24.7-62.6)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055F28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640.4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0.43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310.6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52.8 (38.5-63.7)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904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986.1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487.4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1.51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43.1 (32.0-52.4)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1004.3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717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486.3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1.47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44.0 (35.5-51.4)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589.6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1.13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564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294.0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1.92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41.2 (33.3-48.2)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1243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742.8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1.67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367.3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2.76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42.0 (32.0-50.6)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916D45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055F28" w:rsidRPr="00152AFA" w:rsidTr="002A216C">
        <w:trPr>
          <w:trHeight w:val="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055F28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5949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9088.6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2974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3677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4508.3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45.3 (41.3-49.0)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F28" w:rsidRPr="00152AFA" w:rsidRDefault="00055F28" w:rsidP="00916D45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</w:tbl>
    <w:p w:rsidR="00D1724B" w:rsidRPr="00152AFA" w:rsidRDefault="00D1724B" w:rsidP="00D1724B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lastRenderedPageBreak/>
        <w:t xml:space="preserve">Clinical malaria primary case definition: Illness in a child brought to a study facility with a temperature of ≥ 37.5°C and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5000 parasites per cubic millimeter or a case of malaria meeting the primary case definition of severe malaria.</w:t>
      </w:r>
    </w:p>
    <w:p w:rsidR="00A1297A" w:rsidRPr="00152AFA" w:rsidRDefault="00A1297A" w:rsidP="00D1724B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Severe malaria primary case definition: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5000 parasites per cubic millimeter with one or more markers of disease severity and without diagnosis of a coexisting illness.</w:t>
      </w:r>
    </w:p>
    <w:p w:rsidR="00D1724B" w:rsidRPr="00152AFA" w:rsidRDefault="00D1724B" w:rsidP="00D1724B">
      <w:pPr>
        <w:spacing w:after="0" w:line="480" w:lineRule="auto"/>
        <w:rPr>
          <w:lang w:val="en-US"/>
        </w:rPr>
      </w:pPr>
      <w:r w:rsidRPr="00152AFA">
        <w:rPr>
          <w:lang w:val="en-US"/>
        </w:rPr>
        <w:t>Clinical malaria secondary case definition</w:t>
      </w:r>
      <w:r w:rsidR="00A1297A" w:rsidRPr="00152AFA">
        <w:rPr>
          <w:lang w:val="en-US"/>
        </w:rPr>
        <w:t xml:space="preserve"> 1</w:t>
      </w:r>
      <w:r w:rsidRPr="00152AFA">
        <w:rPr>
          <w:lang w:val="en-US"/>
        </w:rPr>
        <w:t xml:space="preserve">: Illness in a child brought to a study facility with a measured temperature of ≥37.5°C or reported fever within the last 24 hours and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0 parasites per cubic millimeter.</w:t>
      </w:r>
    </w:p>
    <w:p w:rsidR="00A1297A" w:rsidRPr="00152AFA" w:rsidRDefault="00A1297A" w:rsidP="00A1297A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Clinical malaria secondary case definition 2: Illness in a child brought to a study facility with a measured temperature of ≥37.5°C and </w:t>
      </w:r>
      <w:r w:rsidR="00A943C7" w:rsidRPr="00152AFA">
        <w:rPr>
          <w:rFonts w:cs="OTNEJMScalaSansLF-Italic"/>
          <w:i/>
          <w:iCs/>
          <w:lang w:val="en-US"/>
        </w:rPr>
        <w:t>P. </w:t>
      </w:r>
      <w:r w:rsidRPr="00152AFA">
        <w:rPr>
          <w:rFonts w:cs="OTNEJMScalaSansLF-Italic"/>
          <w:i/>
          <w:iCs/>
          <w:lang w:val="en-US"/>
        </w:rPr>
        <w:t xml:space="preserve">falciparum </w:t>
      </w:r>
      <w:r w:rsidRPr="00152AFA">
        <w:rPr>
          <w:lang w:val="en-US"/>
        </w:rPr>
        <w:t>asexual parasitemia at a density of &gt; </w:t>
      </w:r>
      <w:r w:rsidR="00A943C7" w:rsidRPr="00152AFA">
        <w:rPr>
          <w:lang w:val="en-US"/>
        </w:rPr>
        <w:t>50</w:t>
      </w:r>
      <w:r w:rsidRPr="00152AFA">
        <w:rPr>
          <w:lang w:val="en-US"/>
        </w:rPr>
        <w:t>0 parasites per cubic millimeter.</w:t>
      </w:r>
    </w:p>
    <w:p w:rsidR="00A1297A" w:rsidRPr="00152AFA" w:rsidRDefault="00A1297A" w:rsidP="00D1724B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Clinical malaria secondary case definition 3: Illness in a child brought to a study facility with a measured temperature of ≥37.5°C and </w:t>
      </w:r>
      <w:r w:rsidR="00A943C7" w:rsidRPr="00152AFA">
        <w:rPr>
          <w:rFonts w:cs="OTNEJMScalaSansLF-Italic"/>
          <w:i/>
          <w:iCs/>
          <w:lang w:val="en-US"/>
        </w:rPr>
        <w:t>P. </w:t>
      </w:r>
      <w:r w:rsidRPr="00152AFA">
        <w:rPr>
          <w:rFonts w:cs="OTNEJMScalaSansLF-Italic"/>
          <w:i/>
          <w:iCs/>
          <w:lang w:val="en-US"/>
        </w:rPr>
        <w:t xml:space="preserve">falciparum </w:t>
      </w:r>
      <w:r w:rsidRPr="00152AFA">
        <w:rPr>
          <w:lang w:val="en-US"/>
        </w:rPr>
        <w:t>asexual parasitemia at a density of &gt; </w:t>
      </w:r>
      <w:r w:rsidR="00A943C7" w:rsidRPr="00152AFA">
        <w:rPr>
          <w:lang w:val="en-US"/>
        </w:rPr>
        <w:t>20,00</w:t>
      </w:r>
      <w:r w:rsidRPr="00152AFA">
        <w:rPr>
          <w:lang w:val="en-US"/>
        </w:rPr>
        <w:t>0 parasites per cubic millimeter.</w:t>
      </w:r>
    </w:p>
    <w:p w:rsidR="00D42B71" w:rsidRPr="00152AFA" w:rsidRDefault="00D42B71" w:rsidP="00D1724B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 xml:space="preserve">P-value from negative binomial </w:t>
      </w:r>
      <w:r w:rsidR="00B77897" w:rsidRPr="00152AFA">
        <w:rPr>
          <w:lang w:val="en-US"/>
        </w:rPr>
        <w:t>regression</w:t>
      </w:r>
      <w:r w:rsidRPr="00152AFA">
        <w:rPr>
          <w:lang w:val="en-US"/>
        </w:rPr>
        <w:t>.</w:t>
      </w:r>
      <w:proofErr w:type="gramEnd"/>
    </w:p>
    <w:p w:rsidR="00D1724B" w:rsidRPr="00152AFA" w:rsidRDefault="00D1724B" w:rsidP="00D1724B">
      <w:pPr>
        <w:rPr>
          <w:lang w:val="en-US"/>
        </w:rPr>
      </w:pPr>
      <w:r w:rsidRPr="00152AFA">
        <w:rPr>
          <w:lang w:val="en-US"/>
        </w:rPr>
        <w:br w:type="page"/>
      </w:r>
    </w:p>
    <w:p w:rsidR="00D1724B" w:rsidRPr="00152AFA" w:rsidRDefault="00D1724B" w:rsidP="00D1724B">
      <w:pPr>
        <w:pStyle w:val="Heading2"/>
        <w:numPr>
          <w:ilvl w:val="0"/>
          <w:numId w:val="0"/>
        </w:numPr>
        <w:rPr>
          <w:lang w:val="en-US"/>
        </w:rPr>
      </w:pPr>
      <w:bookmarkStart w:id="2" w:name="_Toc370135315"/>
      <w:bookmarkStart w:id="3" w:name="_Toc379828939"/>
      <w:proofErr w:type="gramStart"/>
      <w:r w:rsidRPr="00152AFA">
        <w:rPr>
          <w:lang w:val="en-US"/>
        </w:rPr>
        <w:lastRenderedPageBreak/>
        <w:t xml:space="preserve">Supplementary table </w:t>
      </w:r>
      <w:r w:rsidR="00A14B67">
        <w:rPr>
          <w:lang w:val="en-US"/>
        </w:rPr>
        <w:t>5</w:t>
      </w:r>
      <w:r w:rsidR="00A14B67" w:rsidRPr="00152AFA"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Vaccine efficacy against all episodes of clinical malaria (primary and secondary case definitions) during a 18-month follow-up period post dose-3 in the </w:t>
      </w:r>
      <w:r w:rsidR="000E51DD" w:rsidRPr="00152AFA">
        <w:rPr>
          <w:lang w:val="en-US"/>
        </w:rPr>
        <w:t xml:space="preserve">6-12 week </w:t>
      </w:r>
      <w:r w:rsidRPr="00152AFA">
        <w:rPr>
          <w:lang w:val="en-US"/>
        </w:rPr>
        <w:t>age</w:t>
      </w:r>
      <w:r w:rsidR="000E51DD" w:rsidRPr="00152AFA">
        <w:rPr>
          <w:lang w:val="en-US"/>
        </w:rPr>
        <w:t xml:space="preserve"> </w:t>
      </w:r>
      <w:r w:rsidRPr="00152AFA">
        <w:rPr>
          <w:lang w:val="en-US"/>
        </w:rPr>
        <w:t>category, ordered by increasing malaria incidence</w:t>
      </w:r>
      <w:bookmarkEnd w:id="2"/>
      <w:bookmarkEnd w:id="3"/>
    </w:p>
    <w:tbl>
      <w:tblPr>
        <w:tblW w:w="13234" w:type="dxa"/>
        <w:jc w:val="center"/>
        <w:tblInd w:w="57" w:type="dxa"/>
        <w:tblLayout w:type="fixed"/>
        <w:tblLook w:val="00A0" w:firstRow="1" w:lastRow="0" w:firstColumn="1" w:lastColumn="0" w:noHBand="0" w:noVBand="0"/>
      </w:tblPr>
      <w:tblGrid>
        <w:gridCol w:w="4020"/>
        <w:gridCol w:w="886"/>
        <w:gridCol w:w="886"/>
        <w:gridCol w:w="886"/>
        <w:gridCol w:w="886"/>
        <w:gridCol w:w="842"/>
        <w:gridCol w:w="842"/>
        <w:gridCol w:w="842"/>
        <w:gridCol w:w="842"/>
        <w:gridCol w:w="1451"/>
        <w:gridCol w:w="851"/>
      </w:tblGrid>
      <w:tr w:rsidR="00D1724B" w:rsidRPr="00152AFA" w:rsidTr="00577B37">
        <w:trPr>
          <w:trHeight w:val="51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RTS,S/AS01 vaccine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Control vaccine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Protective Efficacy</w:t>
            </w:r>
          </w:p>
        </w:tc>
      </w:tr>
      <w:tr w:rsidR="0064188B" w:rsidRPr="00152AFA" w:rsidTr="00A943C7">
        <w:trPr>
          <w:trHeight w:val="3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Clinical malaria - primary case definition </w:t>
            </w: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br/>
              <w:t>(per-protocol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children (N)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episodes (n)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Person years at risk (T)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children (N)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Number of episodes (n)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snapToGrid w:val="0"/>
                <w:sz w:val="20"/>
                <w:szCs w:val="20"/>
                <w:lang w:val="en-US"/>
              </w:rPr>
              <w:t>Person years at risk (T)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88B" w:rsidRPr="00152AFA" w:rsidRDefault="0064188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253.2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102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139.0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-56.5 (-599-65.0)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0.556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255.5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48.5 (-7.0-75.2)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0.075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7C5038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524.4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259.1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20.2 (-31.8-51.6)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0.377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208.2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88.3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8.7 (-113-60.8)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0.831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693.2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340.0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34.8 (-21.064.9)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0.174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698.3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0.3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355.8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0.5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43.0 (21.2-58.8)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573.3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302.9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0.79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19.5 (-2.7-36.9)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0.080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535.0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256.2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33.7 (14.2-48.8)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390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255.5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1.53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192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128.9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1.49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-2.7 (-29.3-18.5)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0.822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1055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547.2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1.93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649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271.6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2.39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20.0 (9.6-29.1)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1171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577.3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761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276.8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2.75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32.2 (19.2-43.2)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3996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3848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5396.8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0.71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2007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2464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2674.0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0.92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26.6 (20.3-32.4)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&lt;0.001</w:t>
            </w:r>
          </w:p>
        </w:tc>
      </w:tr>
      <w:tr w:rsidR="00D1724B" w:rsidRPr="00152AFA" w:rsidTr="00A943C7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</w:t>
            </w:r>
            <w:r w:rsidR="00A943C7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1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24B" w:rsidRPr="00152AFA" w:rsidRDefault="00D1724B" w:rsidP="00577B3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15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253.0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0.06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102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7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138.8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-16.3 (-246-60.9)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0.785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530.8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255.2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54.3 (15.1-75.3)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0.013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7C5038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523.1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258.3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21.0 (-19.0-47.6)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0.258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lastRenderedPageBreak/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207.7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88.0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9.5 (-86.8-56.2)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0.785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691.8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339.2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0.2</w:t>
            </w:r>
            <w:r w:rsidR="00412E8B" w:rsidRPr="00152AFA">
              <w:rPr>
                <w:sz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29.3 (-15.8-56.8)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0.168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693.6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352.2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0.78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43.5 (23.4-58.3)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649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562.4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295.6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1.44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21.5 (3.0-36.4)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0.024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523.1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1.54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248.2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36.2 (18.5-50.0)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573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248.3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2.31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99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305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124.3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2.45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5.5 (-17.7-24.2)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0.611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1372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534.8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2.57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850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263.7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3.22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20.9 (12.1-28.7)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577B3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1792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552.9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3.24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229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1151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261.2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4.41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32.9 (20.7-43.1)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152AFA" w:rsidRDefault="00D1724B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1724B" w:rsidRPr="00152AFA" w:rsidTr="002D31BF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3996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5781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5321.4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1.09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3718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2624.6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1.42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27.8 (22.0-33.1)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24B" w:rsidRPr="004F78ED" w:rsidRDefault="00D1724B" w:rsidP="00577B37">
            <w:pPr>
              <w:pStyle w:val="tabletextNS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78ED">
              <w:rPr>
                <w:b/>
                <w:sz w:val="20"/>
                <w:lang w:val="en-US"/>
              </w:rPr>
              <w:t>&lt;0.001</w:t>
            </w:r>
          </w:p>
        </w:tc>
      </w:tr>
      <w:tr w:rsidR="00354805" w:rsidRPr="00152AFA" w:rsidTr="002D31BF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2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A943C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A943C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2C2AFB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7B0CB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7B0CB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7B0CB7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7B0CB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2D31BF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2D31BF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43C7" w:rsidRPr="00152AFA" w:rsidRDefault="00A943C7" w:rsidP="002D31BF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253.2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138.9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-45.7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(-521-65.9)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0.610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531.0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255.2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61.1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(25.6-79.7)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0.004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7C5038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524.3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259.0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24.6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(-22.1-53.5)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0.249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208.1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88.3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2.7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(-114-55.7)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0.946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692.4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339.6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28.7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(-20.2-57.7)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0.203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697.0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354.9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42.9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(22.5-58.0)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570.7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301.6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16.8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(-4.77-34.0)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0.117</w:t>
            </w:r>
          </w:p>
        </w:tc>
      </w:tr>
      <w:tr w:rsidR="002C2AFB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532.4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254.1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35.3</w:t>
            </w:r>
            <w:r w:rsidR="00547029" w:rsidRPr="00152AFA">
              <w:rPr>
                <w:sz w:val="20"/>
                <w:szCs w:val="20"/>
                <w:lang w:val="en-US"/>
              </w:rPr>
              <w:t xml:space="preserve"> (17.4-49.3)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2AFB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547029" w:rsidRPr="00152AFA" w:rsidTr="00916D45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429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254.0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1.69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128.1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1.66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-2.1 (-28.0-18.5)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0.856</w:t>
            </w:r>
          </w:p>
        </w:tc>
      </w:tr>
      <w:tr w:rsidR="00547029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1213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541.1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267.6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20.6</w:t>
            </w:r>
            <w:r w:rsidR="00570728" w:rsidRPr="00152AFA">
              <w:rPr>
                <w:sz w:val="20"/>
                <w:szCs w:val="20"/>
                <w:lang w:val="en-US"/>
              </w:rPr>
              <w:t xml:space="preserve"> (11.4-28.8)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547029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1277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573.1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2.23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814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274.7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2.96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30.3</w:t>
            </w:r>
            <w:r w:rsidR="00570728" w:rsidRPr="00152AFA">
              <w:rPr>
                <w:sz w:val="20"/>
                <w:szCs w:val="20"/>
                <w:lang w:val="en-US"/>
              </w:rPr>
              <w:t xml:space="preserve"> (17.1-41.4)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152AFA" w:rsidRDefault="00547029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547029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3996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4352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5377.3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0.81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2773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2662.0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1.04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26.2</w:t>
            </w:r>
            <w:r w:rsidR="00570728" w:rsidRPr="004F78ED">
              <w:rPr>
                <w:b/>
                <w:sz w:val="20"/>
                <w:szCs w:val="20"/>
                <w:lang w:val="en-US"/>
              </w:rPr>
              <w:t xml:space="preserve"> (20.2-31.8)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7029" w:rsidRPr="004F78ED" w:rsidRDefault="00547029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2C2AFB" w:rsidRPr="00152AFA" w:rsidTr="00916D45">
        <w:trPr>
          <w:trHeight w:val="33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75164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Clinical malaria - secondary case definition 3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="0075164B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</w:t>
            </w:r>
            <w:r w:rsidR="00A95F56"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er-protocol population)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 Narrow"/>
                <w:b/>
                <w:snapToGrid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% 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AFB" w:rsidRPr="00152AFA" w:rsidRDefault="002C2AFB" w:rsidP="00916D4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2AF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 w:eastAsia="en-GB"/>
              </w:rPr>
              <w:t>p-value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253.4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139.0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35.9 (-278-89.1)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0.622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lastRenderedPageBreak/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531.1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255.6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43.1 (-27.2-74.6)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0.168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C5038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525.2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259.4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2D31BF">
            <w:pPr>
              <w:pStyle w:val="tabletextNS"/>
              <w:tabs>
                <w:tab w:val="center" w:pos="668"/>
                <w:tab w:val="left" w:pos="1230"/>
              </w:tabs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39.6 (-13.7-67.9)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0.118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208.5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88.4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-3.1 (-175-61.3)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0.951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693.7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340.3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47.3 (-5.23-73.6)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FF70B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78ED">
              <w:rPr>
                <w:rFonts w:cs="Arial"/>
                <w:sz w:val="20"/>
                <w:szCs w:val="20"/>
                <w:lang w:val="en-US"/>
              </w:rPr>
              <w:t>0.0</w:t>
            </w:r>
            <w:r w:rsidR="00FF70B5" w:rsidRPr="004F78ED">
              <w:rPr>
                <w:rFonts w:cs="Arial"/>
                <w:sz w:val="20"/>
                <w:szCs w:val="20"/>
                <w:lang w:val="en-US"/>
              </w:rPr>
              <w:t>69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7B0CB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670.0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357.1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42.6 (17.5-60.1)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0.002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577.1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305.2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21.5 (-3.1-40.2)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0.081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538.4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258.4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34.2 (13.4-50.0)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0.002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257.3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130.3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1.21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-10.7 (-43.3-14.5)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"/>
                <w:sz w:val="20"/>
                <w:szCs w:val="20"/>
                <w:lang w:val="en-US"/>
              </w:rPr>
              <w:t>0.438</w:t>
            </w:r>
          </w:p>
        </w:tc>
      </w:tr>
      <w:tr w:rsidR="007B0CB7" w:rsidRPr="00152AFA" w:rsidTr="00916D45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555.0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1.53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542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275.7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1.97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22.8 (11.7-32.5)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7B0CB7" w:rsidRPr="00152AFA" w:rsidTr="00A943C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1014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583.5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280.8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2.34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31.8 (17.9-43.4)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152AFA" w:rsidRDefault="007B0CB7" w:rsidP="00916D45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7B0CB7" w:rsidRPr="00152AFA" w:rsidTr="00A943C7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3996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3171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5423.0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0.58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2007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2043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2690.1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0.76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27.8 (21.0-34.0)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0CB7" w:rsidRPr="004F78ED" w:rsidRDefault="007B0CB7" w:rsidP="00916D45">
            <w:pPr>
              <w:pStyle w:val="tabletextNS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78ED">
              <w:rPr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A95F56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 xml:space="preserve">Clinical malaria - primary case definition </w:t>
            </w:r>
            <w:r w:rsidRPr="00152AFA">
              <w:rPr>
                <w:b/>
                <w:sz w:val="20"/>
                <w:szCs w:val="20"/>
                <w:lang w:val="en-US"/>
              </w:rPr>
              <w:br/>
              <w:t>(</w:t>
            </w:r>
            <w:r w:rsidR="0075164B" w:rsidRPr="00152AFA">
              <w:rPr>
                <w:b/>
                <w:sz w:val="20"/>
                <w:szCs w:val="20"/>
                <w:lang w:val="en-US"/>
              </w:rPr>
              <w:t>i</w:t>
            </w:r>
            <w:r w:rsidRPr="00152AFA">
              <w:rPr>
                <w:b/>
                <w:sz w:val="20"/>
                <w:szCs w:val="20"/>
                <w:lang w:val="en-US"/>
              </w:rPr>
              <w:t>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F56" w:rsidRPr="00152AFA" w:rsidRDefault="00A95F56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299.5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160.2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-51.9 (-580-66.1)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0.583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</w:t>
            </w:r>
          </w:p>
        </w:tc>
        <w:tc>
          <w:tcPr>
            <w:tcW w:w="886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634.1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195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</w:t>
            </w:r>
          </w:p>
        </w:tc>
        <w:tc>
          <w:tcPr>
            <w:tcW w:w="842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307.6</w:t>
            </w:r>
          </w:p>
        </w:tc>
        <w:tc>
          <w:tcPr>
            <w:tcW w:w="842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48.3 (-4.8-74.5)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0.067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656.57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327.4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23.6 (-23.1-52.6)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0.268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240.7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104.2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6.7 (-118-60.0)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0.872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820.5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416.6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37.8 (-13.0-65.7)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0.118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838.6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437.1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0.43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39.0 (17.2-55.0)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0.001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402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718.1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358.6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0.69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18.8 (-2.7-35.8)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0.082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szCs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640.9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305.8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34.2 (15.7-48.7)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0.001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326.7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1.34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164.1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1.31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-1.9 (-27.0-18.1)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0.863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1134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649.9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1.74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322.6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2.16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19.8 (9.8-28.7)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szCs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1342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758.0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1.77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920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369.5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2.49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34.9 (23.6-44.5)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312160" w:rsidRPr="00152AFA" w:rsidTr="00A95F56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4252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6583.6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2179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2751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3273.6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27.0 (21.1-32.5)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lastRenderedPageBreak/>
              <w:t>Clinical malaria - secondary case definition 1 (intention-to-treat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299.3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160.0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-13.1 (-238-62.2)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0.825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633.9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307.3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54.1 (14.7-75.3)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0.013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655.2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326.3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29.5 (-3.6-52.1)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0.075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240.1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103.8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17.2 (-61.7-57.6)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0.579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818.9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415.6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32.4 (-7.9-57.6)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0.100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833.6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433.2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0.67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39.8 (20.0-54.6)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706.0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1.02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449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350.8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1.28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21.2 (3.5-35.6)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0.021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907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627.0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1.45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598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296.6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2.02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35.2 (18.4-48.5)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486CD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666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317.9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158.7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2.21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5.7 (-15.4-23.0)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0.568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635.1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2.39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941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313.2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20.6 (12.5-28.0)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2120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727.8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2.91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1395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350.8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3.98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32.9 (22.0-42.3)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486CD2" w:rsidRPr="00152AFA" w:rsidTr="00A95F56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6564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6494.6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1.01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2179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3216.4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1.31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27.7 (22.3-32.7)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CD2" w:rsidRPr="00152AFA" w:rsidRDefault="00486CD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Clinical malaria - secondary case definition 2 (intention-to-treat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A95F56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299.5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160.2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-41.5 (-504-66.9)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0.638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634.0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307.3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60.4 (25.6-78.9)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0.004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656.5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327.3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27.3 (-15.2-54.2)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0.174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240.6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104.2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-3.3 (-125-52.6)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0.935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819.6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416.1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31.2 (-13.0-58.1)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0.139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837.2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0.32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436.1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0.49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39.0 (18.6-54.3)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715.2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0.67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284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357.2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15.8 (-5.2-32.6)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0.129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629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637.8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303.2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1.42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35.9 (19.2-49.2)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992E12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494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324.6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1.52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163.0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1.5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-1.3 (-25.0-17.9)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0.901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1325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642.6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318.0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20.1 (11.3-28.0)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lastRenderedPageBreak/>
              <w:t>Siaya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1484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752.6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1.97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983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367.1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31.8 (20.2-41.7)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992E12" w:rsidRPr="00152AFA" w:rsidTr="00A95F56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4873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6560.0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2179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3115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3259.6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26.1 (20.5-31.4)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E12" w:rsidRPr="00152AFA" w:rsidRDefault="00992E12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  <w:tr w:rsidR="00312160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Clinical malaria - secondary case definition 3 (intention-to-treat population)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T (year)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n/T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160" w:rsidRPr="00152AFA" w:rsidRDefault="00312160" w:rsidP="00471BC1">
            <w:pPr>
              <w:pStyle w:val="tabletextNS"/>
              <w:jc w:val="center"/>
              <w:rPr>
                <w:b/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Kilifi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299.7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160.2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37.8 (-267-89.5)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0.599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Korogwe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634.2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195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307.7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43.4 (-22.6-73.9)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0.148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7C5038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Manhiça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657.4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327.8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43.9 (-3.7-69.6)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0.065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Lambarene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240.9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104.4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-5.1 (-181-60.6)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0.920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Bagamoyo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821.0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269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416.8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0.12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6003FD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51.</w:t>
            </w:r>
            <w:r w:rsidR="006003FD" w:rsidRPr="00152AFA">
              <w:rPr>
                <w:sz w:val="20"/>
                <w:lang w:val="en-US"/>
              </w:rPr>
              <w:t>2</w:t>
            </w:r>
            <w:r w:rsidRPr="00152AFA">
              <w:rPr>
                <w:sz w:val="20"/>
                <w:lang w:val="en-US"/>
              </w:rPr>
              <w:t xml:space="preserve"> (4.7-75.0)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0.035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Lilongwe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840.4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0.22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149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438.5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0.34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39.4 (14.4-57.1)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0.004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Agogo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722.4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0.41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230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183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361.0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0.51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22.3 (-1.1-40.3)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0.060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proofErr w:type="spellStart"/>
            <w:r w:rsidRPr="00152AFA">
              <w:rPr>
                <w:sz w:val="20"/>
                <w:lang w:val="en-US"/>
              </w:rPr>
              <w:t>Kombewa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450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644.7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296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308.4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0.96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33.6 (13.4-49.1)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0.002</w:t>
            </w:r>
          </w:p>
        </w:tc>
      </w:tr>
      <w:tr w:rsidR="00271F1B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Kintampo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329.0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1.15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176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165.6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1.06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-8.0 (-37.6-15.3)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0.533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Nanoro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903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658.6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1.37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576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327.3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1.76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22.6 (11.8-32.0)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D567E3" w:rsidRPr="00152AFA" w:rsidTr="00CA412E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Siaya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1144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765.7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1.49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273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784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374.7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2.09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35.1 (22.9-45.4)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67E3" w:rsidRPr="00152AFA" w:rsidRDefault="00D567E3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sz w:val="20"/>
                <w:lang w:val="en-US"/>
              </w:rPr>
              <w:t>&lt;0.001</w:t>
            </w:r>
          </w:p>
        </w:tc>
      </w:tr>
      <w:tr w:rsidR="00271F1B" w:rsidRPr="00152AFA" w:rsidTr="00A95F56">
        <w:trPr>
          <w:trHeight w:val="284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Overall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4358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3458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6614.0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2179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2261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3292.2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0.69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28.7 (22.3-34.5)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1F1B" w:rsidRPr="00152AFA" w:rsidRDefault="00271F1B" w:rsidP="00471BC1">
            <w:pPr>
              <w:pStyle w:val="tabletextNS"/>
              <w:jc w:val="center"/>
              <w:rPr>
                <w:sz w:val="20"/>
                <w:szCs w:val="20"/>
                <w:lang w:val="en-US"/>
              </w:rPr>
            </w:pPr>
            <w:r w:rsidRPr="00152AFA">
              <w:rPr>
                <w:b/>
                <w:sz w:val="20"/>
                <w:lang w:val="en-US"/>
              </w:rPr>
              <w:t>&lt;</w:t>
            </w:r>
            <w:r w:rsidR="00D567E3" w:rsidRPr="00152AFA">
              <w:rPr>
                <w:b/>
                <w:sz w:val="20"/>
                <w:lang w:val="en-US"/>
              </w:rPr>
              <w:t>0</w:t>
            </w:r>
            <w:r w:rsidRPr="00152AFA">
              <w:rPr>
                <w:b/>
                <w:sz w:val="20"/>
                <w:lang w:val="en-US"/>
              </w:rPr>
              <w:t>.001</w:t>
            </w:r>
          </w:p>
        </w:tc>
      </w:tr>
    </w:tbl>
    <w:p w:rsidR="00D1724B" w:rsidRPr="00152AFA" w:rsidRDefault="00D1724B" w:rsidP="00D1724B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 xml:space="preserve">Clinical malaria primary case definition: Illness in a child brought to a study facility with a temperature of ≥ 37.5°C and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5000 parasites per cubic millimeter or a case of malaria meeting the primary case definition of severe malaria.</w:t>
      </w:r>
    </w:p>
    <w:p w:rsidR="00A943C7" w:rsidRPr="00152AFA" w:rsidRDefault="00A943C7" w:rsidP="00A943C7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Severe malaria primary case definition: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5000 parasites per cubic millimeter with one or more markers of disease severity and without diagnosis of a coexisting illness.</w:t>
      </w:r>
    </w:p>
    <w:p w:rsidR="00D1724B" w:rsidRPr="00152AFA" w:rsidRDefault="00D1724B" w:rsidP="00D1724B">
      <w:pPr>
        <w:spacing w:after="0" w:line="480" w:lineRule="auto"/>
        <w:rPr>
          <w:lang w:val="en-US"/>
        </w:rPr>
      </w:pPr>
      <w:r w:rsidRPr="00152AFA">
        <w:rPr>
          <w:lang w:val="en-US"/>
        </w:rPr>
        <w:lastRenderedPageBreak/>
        <w:t>Clinical malaria secondary case definition</w:t>
      </w:r>
      <w:r w:rsidR="00A943C7" w:rsidRPr="00152AFA">
        <w:rPr>
          <w:lang w:val="en-US"/>
        </w:rPr>
        <w:t xml:space="preserve"> </w:t>
      </w:r>
      <w:bookmarkStart w:id="4" w:name="_GoBack"/>
      <w:bookmarkEnd w:id="4"/>
      <w:r w:rsidR="00A943C7" w:rsidRPr="00152AFA">
        <w:rPr>
          <w:lang w:val="en-US"/>
        </w:rPr>
        <w:t>1</w:t>
      </w:r>
      <w:r w:rsidRPr="00152AFA">
        <w:rPr>
          <w:lang w:val="en-US"/>
        </w:rPr>
        <w:t xml:space="preserve">: Illness in a child brought to a study facility with a measured temperature of ≥37.5°C or reported fever within the last 24 hours and </w:t>
      </w:r>
      <w:r w:rsidRPr="00152AFA">
        <w:rPr>
          <w:rFonts w:cs="OTNEJMScalaSansLF-Italic"/>
          <w:i/>
          <w:iCs/>
          <w:lang w:val="en-US"/>
        </w:rPr>
        <w:t xml:space="preserve">P. falciparum </w:t>
      </w:r>
      <w:r w:rsidRPr="00152AFA">
        <w:rPr>
          <w:lang w:val="en-US"/>
        </w:rPr>
        <w:t>asexual parasitemia at a density of &gt; 0 parasites per cubic millimeter.</w:t>
      </w:r>
    </w:p>
    <w:p w:rsidR="00A943C7" w:rsidRPr="00152AFA" w:rsidRDefault="00A943C7" w:rsidP="00A943C7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Clinical malaria secondary case definition 2: Illness in a child brought to a study facility with a measured temperature of ≥37.5°C and </w:t>
      </w:r>
      <w:r w:rsidRPr="00152AFA">
        <w:rPr>
          <w:rFonts w:cs="OTNEJMScalaSansLF-Italic"/>
          <w:i/>
          <w:iCs/>
          <w:lang w:val="en-US"/>
        </w:rPr>
        <w:t xml:space="preserve">P. falciparum </w:t>
      </w:r>
      <w:r w:rsidRPr="00152AFA">
        <w:rPr>
          <w:lang w:val="en-US"/>
        </w:rPr>
        <w:t>asexual parasitemia at a density of &gt; 500 parasites per cubic millimeter.</w:t>
      </w:r>
    </w:p>
    <w:p w:rsidR="00D42B71" w:rsidRPr="00152AFA" w:rsidRDefault="00A943C7" w:rsidP="00354805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Clinical malaria secondary case definition 3: Illness in a child brought to a study facility with a measured temperature of ≥37.5°C and </w:t>
      </w:r>
      <w:r w:rsidRPr="00152AFA">
        <w:rPr>
          <w:rFonts w:cs="OTNEJMScalaSansLF-Italic"/>
          <w:i/>
          <w:iCs/>
          <w:lang w:val="en-US"/>
        </w:rPr>
        <w:t xml:space="preserve">P. falciparum </w:t>
      </w:r>
      <w:r w:rsidRPr="00152AFA">
        <w:rPr>
          <w:lang w:val="en-US"/>
        </w:rPr>
        <w:t>asexual parasitemia at a density of &gt; 20,000 parasites per cubic millimeter.</w:t>
      </w:r>
    </w:p>
    <w:p w:rsidR="006C0968" w:rsidRPr="00152AFA" w:rsidRDefault="00D42B71" w:rsidP="006C0968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 xml:space="preserve">P-value from negative binomial </w:t>
      </w:r>
      <w:r w:rsidR="00B77897" w:rsidRPr="00152AFA">
        <w:rPr>
          <w:lang w:val="en-US"/>
        </w:rPr>
        <w:t>regression</w:t>
      </w:r>
      <w:r w:rsidRPr="00152AFA">
        <w:rPr>
          <w:lang w:val="en-US"/>
        </w:rPr>
        <w:t>.</w:t>
      </w:r>
      <w:proofErr w:type="gramEnd"/>
    </w:p>
    <w:sectPr w:rsidR="006C0968" w:rsidRPr="00152AFA" w:rsidSect="006C0968">
      <w:headerReference w:type="default" r:id="rId9"/>
      <w:footerReference w:type="default" r:id="rId10"/>
      <w:pgSz w:w="15840" w:h="12240" w:orient="landscape" w:code="1"/>
      <w:pgMar w:top="1800" w:right="1267" w:bottom="1800" w:left="1253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TNEJMScalaSansLF-Italic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8" w:rsidRDefault="006C0968" w:rsidP="006C0968">
    <w:pPr>
      <w:pStyle w:val="Footer"/>
      <w:tabs>
        <w:tab w:val="clear" w:pos="4320"/>
        <w:tab w:val="clear" w:pos="8640"/>
        <w:tab w:val="center" w:pos="6660"/>
        <w:tab w:val="right" w:pos="1332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8" w:rsidRDefault="006C0968" w:rsidP="006C0968">
    <w:pPr>
      <w:pStyle w:val="Header"/>
      <w:tabs>
        <w:tab w:val="clear" w:pos="4320"/>
        <w:tab w:val="clear" w:pos="8640"/>
        <w:tab w:val="center" w:pos="6660"/>
        <w:tab w:val="right" w:pos="1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2272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36D8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68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E5910"/>
    <w:rsid w:val="009F2C34"/>
    <w:rsid w:val="00A04DA4"/>
    <w:rsid w:val="00A05C75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1BC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62B"/>
    <w:rsid w:val="00E32FA8"/>
    <w:rsid w:val="00E33862"/>
    <w:rsid w:val="00E407E1"/>
    <w:rsid w:val="00E47137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2C58-7A0D-4B18-94A5-AB112ADE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3142</Words>
  <Characters>15492</Characters>
  <Application>Microsoft Office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2014-04-17T14:03:00Z</dcterms:created>
  <dcterms:modified xsi:type="dcterms:W3CDTF">2014-04-17T14:05:00Z</dcterms:modified>
</cp:coreProperties>
</file>