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F8" w:rsidRDefault="008C73F8" w:rsidP="008C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b/>
          <w:bCs/>
          <w:sz w:val="24"/>
          <w:szCs w:val="24"/>
        </w:rPr>
      </w:pPr>
      <w:r>
        <w:rPr>
          <w:rFonts w:ascii="Arial" w:eastAsia="Courier New" w:hAnsi="Arial" w:cs="Arial"/>
          <w:b/>
          <w:bCs/>
          <w:sz w:val="24"/>
          <w:szCs w:val="24"/>
        </w:rPr>
        <w:t>Table S</w:t>
      </w:r>
      <w:r w:rsidR="00470F2D">
        <w:rPr>
          <w:rFonts w:ascii="Arial" w:eastAsia="Courier New" w:hAnsi="Arial" w:cs="Arial"/>
          <w:b/>
          <w:bCs/>
          <w:sz w:val="24"/>
          <w:szCs w:val="24"/>
        </w:rPr>
        <w:t>2</w:t>
      </w:r>
      <w:r>
        <w:rPr>
          <w:rFonts w:ascii="Arial" w:eastAsia="Courier New" w:hAnsi="Arial" w:cs="Arial"/>
          <w:b/>
          <w:bCs/>
          <w:sz w:val="24"/>
          <w:szCs w:val="24"/>
        </w:rPr>
        <w:t xml:space="preserve">. </w:t>
      </w:r>
      <w:r>
        <w:rPr>
          <w:rFonts w:ascii="Arial" w:eastAsia="Courier New" w:hAnsi="Arial" w:cs="Arial"/>
          <w:b/>
          <w:sz w:val="24"/>
          <w:szCs w:val="24"/>
        </w:rPr>
        <w:t>Composition of the expert groups</w:t>
      </w:r>
    </w:p>
    <w:tbl>
      <w:tblPr>
        <w:tblW w:w="992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350"/>
        <w:gridCol w:w="3960"/>
        <w:gridCol w:w="2610"/>
      </w:tblGrid>
      <w:tr w:rsidR="0085060F" w:rsidTr="0085060F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Expertise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Country </w:t>
            </w:r>
            <w:r w:rsidR="00D06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Affiliations*</w:t>
            </w:r>
          </w:p>
        </w:tc>
      </w:tr>
      <w:tr w:rsidR="0085060F" w:rsidTr="0085060F">
        <w:trPr>
          <w:trHeight w:val="27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Aimee Webb Girard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Academics (Maternal and infant nutrition in resource-poor settings, nutritional epidemiology)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C04765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 of America</w:t>
            </w:r>
            <w:r w:rsid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Canada, </w:t>
            </w:r>
            <w:r w:rsidR="00C04765"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Nigeria, Kenya, Malawi, Sierra </w:t>
            </w:r>
            <w:r w:rsid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Leone, India, Guatemala, Mexico</w:t>
            </w:r>
          </w:p>
        </w:tc>
      </w:tr>
      <w:tr w:rsidR="0085060F" w:rsidTr="0085060F">
        <w:trPr>
          <w:trHeight w:val="27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 Langer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Academics, Advocacy (Reproductive health, Maternal health, Perinatal/Neonatal care)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Default="00771E3B" w:rsidP="00771E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Latin America, United States of America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Chandra-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Mouli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Venkatraman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Advocacy and Policy (Adolescent and Child health)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Switzerland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Fernando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Althabe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Clinician, Researcher (Obstetrics, Perinatology)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EB50A2" w:rsidRDefault="00C04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Argentina, Chile, Uruguay, Paraguay, </w:t>
            </w:r>
            <w:r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Brazil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Igor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Rudan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Epidemiology, Genetics, Public health, Researcher (CHNRI priority-setting methods)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Kingdom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Joy Lawn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Researcher, Public Health, Policy and Advocacy (Perinatal/Neonatal care especially stillbirths and prematurity, epidemiology)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C378D8" w:rsidRDefault="00BA6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</w:t>
            </w:r>
            <w:r w:rsidR="00C378D8" w:rsidRPr="00C378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Africa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Katherine C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Teela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Pollicy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(International health, Maternal and Child health)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BA6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 of America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Mary-Elizabeth Reeve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Advocacy (Global health, Maternal health, Preconception Care)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EB50A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 of America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Mireille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Toledano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Research, Epidemiology (Environmental epidemiology)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A674E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67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Kingdom</w:t>
            </w:r>
            <w:r w:rsid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Western Europe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Sohni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 Dean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Researcher (Maternal and Child health, Preconception Care)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Pakistan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Zulfiqar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Bhutta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Academics, Public Health and Policy (Maternal, Newborn and Child health and Micronutrient deficiencies, Community-based perinatal care)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Pakistan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Jack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Clinician, Researcher, Policy (Obstetrics, Family medicine, Preconception care)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 of America</w:t>
            </w:r>
            <w:r w:rsid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Lesotho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Christopher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Howson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Epidemiology, Public health and Policy (International health especially in low-income countries, birth defects and prematurity, Maternal and child health)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 of America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France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Donnay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Policy and Advocacy (Maternal health, Reproductive health)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BA6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Belgium</w:t>
            </w:r>
            <w:r w:rsid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Pakistan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José M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Belizan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Academics (Maternal health, Reproductive health, Obstetrics and Perinatology)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771E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Latin America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Josip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Clinician, Researcher, Public health (Primary Care, Global health and Health management)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C04765" w:rsidRDefault="00D32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Kingdom</w:t>
            </w:r>
            <w:r w:rsid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Slovenia, Croatia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Khadija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Humayun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Clinician (Pediatrics)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Pakistan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Kit Yee Chan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Health, Epidemiology, Research (CHNRI priority-setting methods)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D32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Australia, China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Majid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Ezzati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Researcher (Global environmental health, Exposures to risk factors and outcome on population health and disease burdens)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BA6C5C" w:rsidP="00C04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Kingdom</w:t>
            </w:r>
            <w:r w:rsidR="006A4D4B"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United States of America, </w:t>
            </w:r>
            <w:r w:rsidR="00C04765"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Switzerland, Canada, </w:t>
            </w:r>
            <w:r w:rsidR="006A4D4B"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Ghana, China, Kenya, The Gambia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Reynaldo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Martorell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Academics, Policy (Global health, Maternal and Child health, Nutrition in resource-poor settings)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771E3B" w:rsidRDefault="00BA6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Guatemala, United States of America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Stanley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Chitekwe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Programmatic implementation (Nutrition and Child health)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EB50A2" w:rsidRDefault="00C04765" w:rsidP="00C04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Zimbabwe,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Eritrea, Malawi, </w:t>
            </w:r>
            <w:r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Nigeria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Subidita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Chatterjee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Health (Obstetrics, Reproductive health, Maternal and newborn health, Child and Adolescent health,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India, Thailand</w:t>
            </w:r>
            <w:r w:rsid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771E3B" w:rsidRP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Bangladesh, Bhutan, Nepal, China,</w:t>
            </w:r>
            <w:r w:rsidR="00771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South Africa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Tanya Doherty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Researcher, Programmatic implementation (PMTCT of HIV)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C04765" w:rsidRDefault="00C04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Africa</w:t>
            </w:r>
          </w:p>
        </w:tc>
      </w:tr>
      <w:tr w:rsidR="0085060F" w:rsidTr="0085060F">
        <w:trPr>
          <w:trHeight w:val="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5FF2">
              <w:rPr>
                <w:rFonts w:ascii="Arial" w:eastAsia="Times New Roman" w:hAnsi="Arial" w:cs="Arial"/>
                <w:sz w:val="24"/>
                <w:szCs w:val="24"/>
                <w:lang w:val="pt-BR" w:eastAsia="en-GB"/>
              </w:rPr>
              <w:t>Ysbrand Poortman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Policy, Advocacy, Genetics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Netherlands</w:t>
            </w:r>
            <w:r w:rsidR="00C047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Europe</w:t>
            </w:r>
          </w:p>
        </w:tc>
      </w:tr>
      <w:tr w:rsidR="0085060F" w:rsidTr="0085060F">
        <w:trPr>
          <w:trHeight w:val="6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60F" w:rsidRPr="00185FF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Zohra</w:t>
            </w:r>
            <w:proofErr w:type="spellEnd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185F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Lassi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5060F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Researcher, Epidemiology (Maternal, Newborn and Child health)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060F" w:rsidRPr="001B5F42" w:rsidRDefault="00850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Pakistan</w:t>
            </w:r>
          </w:p>
        </w:tc>
      </w:tr>
    </w:tbl>
    <w:p w:rsidR="006D3CAF" w:rsidRDefault="008C73F8" w:rsidP="008C73F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All participation in this CHNRI exercise was voluntary and carried out without specific funding support. All the experts who were invited to participate had a track record on research in maternal and child health and/or specific fields related to preconception care</w:t>
      </w:r>
      <w:r w:rsidR="00185FF2">
        <w:rPr>
          <w:rFonts w:ascii="Arial" w:eastAsia="Courier New" w:hAnsi="Arial" w:cs="Arial"/>
          <w:sz w:val="24"/>
          <w:szCs w:val="24"/>
        </w:rPr>
        <w:t xml:space="preserve">. </w:t>
      </w:r>
    </w:p>
    <w:p w:rsidR="00D06344" w:rsidRDefault="00D06344" w:rsidP="008C73F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*Country affiliations include country of residence and where primary research or clinical experience occurred</w:t>
      </w:r>
    </w:p>
    <w:p w:rsidR="00793571" w:rsidRDefault="00793571" w:rsidP="008C73F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</w:p>
    <w:p w:rsidR="00793571" w:rsidRPr="00771E3B" w:rsidRDefault="00793571" w:rsidP="00793571">
      <w:pPr>
        <w:spacing w:after="0" w:line="240" w:lineRule="auto"/>
        <w:rPr>
          <w:rFonts w:ascii="Arial" w:eastAsia="Courier New" w:hAnsi="Arial" w:cs="Arial"/>
          <w:sz w:val="24"/>
          <w:szCs w:val="24"/>
          <w:u w:val="single"/>
        </w:rPr>
      </w:pPr>
      <w:r w:rsidRPr="00771E3B">
        <w:rPr>
          <w:rFonts w:ascii="Arial" w:eastAsia="Courier New" w:hAnsi="Arial" w:cs="Arial"/>
          <w:sz w:val="24"/>
          <w:szCs w:val="24"/>
          <w:u w:val="single"/>
        </w:rPr>
        <w:t xml:space="preserve">Experts who helped develop research questions- First iteration </w:t>
      </w:r>
    </w:p>
    <w:p w:rsidR="00793571" w:rsidRPr="00793571" w:rsidRDefault="00793571" w:rsidP="00793571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793571">
        <w:rPr>
          <w:rFonts w:ascii="Arial" w:eastAsia="Courier New" w:hAnsi="Arial" w:cs="Arial"/>
          <w:sz w:val="24"/>
          <w:szCs w:val="24"/>
        </w:rPr>
        <w:t xml:space="preserve">Aimee Webb Girard, Ana Langer,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Atif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Rahman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>, Chandra-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Mouli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Venkatraman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Chris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Howson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Fernando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Althabe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Janis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Bierman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Juliana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Yartey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Kathy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Neuzil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Majid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Ezzati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Mary-Elizabeth Reeve,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Mireille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Toledano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Usha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Ramakrishnan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Wafaie</w:t>
      </w:r>
      <w:bookmarkStart w:id="0" w:name="_GoBack"/>
      <w:bookmarkEnd w:id="0"/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Fawzi</w:t>
      </w:r>
      <w:proofErr w:type="spellEnd"/>
    </w:p>
    <w:p w:rsidR="00793571" w:rsidRPr="00793571" w:rsidRDefault="00793571" w:rsidP="00793571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</w:p>
    <w:p w:rsidR="00793571" w:rsidRPr="00771E3B" w:rsidRDefault="00793571" w:rsidP="00793571">
      <w:pPr>
        <w:spacing w:after="0" w:line="240" w:lineRule="auto"/>
        <w:rPr>
          <w:rFonts w:ascii="Arial" w:eastAsia="Courier New" w:hAnsi="Arial" w:cs="Arial"/>
          <w:sz w:val="24"/>
          <w:szCs w:val="24"/>
          <w:u w:val="single"/>
        </w:rPr>
      </w:pPr>
      <w:r w:rsidRPr="00771E3B">
        <w:rPr>
          <w:rFonts w:ascii="Arial" w:eastAsia="Courier New" w:hAnsi="Arial" w:cs="Arial"/>
          <w:sz w:val="24"/>
          <w:szCs w:val="24"/>
          <w:u w:val="single"/>
        </w:rPr>
        <w:t xml:space="preserve">Experts who completed scoring- First iteration </w:t>
      </w:r>
    </w:p>
    <w:p w:rsidR="00793571" w:rsidRDefault="00793571" w:rsidP="00793571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793571">
        <w:rPr>
          <w:rFonts w:ascii="Arial" w:eastAsia="Courier New" w:hAnsi="Arial" w:cs="Arial"/>
          <w:sz w:val="24"/>
          <w:szCs w:val="24"/>
        </w:rPr>
        <w:t>Chandra-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Mouli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Venkatraman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Subidita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Chatterjee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Kishwar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Enam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Natalie Gray, Michelle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Hindin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Rajesh Mehta, Sarah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Nabukera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Sohinee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Bhattacharya,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Sorina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lastRenderedPageBreak/>
        <w:t>Grisaru-Granovsky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Manon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van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Eijsden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Alicia Aleman, José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Belizan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Guilherme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Cecatti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Guillermo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Carroli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Edgardo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Abalos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Sergio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Hofmeister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Martins-Costa, José Ortiz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Segarra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Cristina Barreiro, Lorenzo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Botto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Christopher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Howson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Reynaldo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Martorell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Hani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Atrash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M.B.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Bellad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Eric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Steegers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Xu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Xiong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Steven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Offenbacher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Xu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Qian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Azra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Ahsan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Alicia Aleman, Claudio Sosa, Muhammad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Masood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Kadir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Fernando Barros,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Sadiqua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Jafarey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Sarah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Saleem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Mario Aldo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Sebastiani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Pierre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Buekens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Tatiana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Balachova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Lindsay Allen,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Mwiru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Ramadhani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Yarlini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Balarajan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Ibironke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Olofin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, Ellen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Piwoz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>, Aimee Webb Girard</w:t>
      </w:r>
      <w:r w:rsidR="00D06344">
        <w:rPr>
          <w:rFonts w:ascii="Arial" w:eastAsia="Courier New" w:hAnsi="Arial" w:cs="Arial"/>
          <w:sz w:val="24"/>
          <w:szCs w:val="24"/>
        </w:rPr>
        <w:t xml:space="preserve">,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Xu</w:t>
      </w:r>
      <w:proofErr w:type="spellEnd"/>
      <w:r w:rsidRPr="00793571">
        <w:rPr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793571">
        <w:rPr>
          <w:rFonts w:ascii="Arial" w:eastAsia="Courier New" w:hAnsi="Arial" w:cs="Arial"/>
          <w:sz w:val="24"/>
          <w:szCs w:val="24"/>
        </w:rPr>
        <w:t>Xiong</w:t>
      </w:r>
      <w:proofErr w:type="spellEnd"/>
    </w:p>
    <w:sectPr w:rsidR="0079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F8"/>
    <w:rsid w:val="001374BE"/>
    <w:rsid w:val="00185FF2"/>
    <w:rsid w:val="001A674E"/>
    <w:rsid w:val="001B5F42"/>
    <w:rsid w:val="002D411B"/>
    <w:rsid w:val="002E32F7"/>
    <w:rsid w:val="00470F2D"/>
    <w:rsid w:val="006A4D4B"/>
    <w:rsid w:val="006D3CAF"/>
    <w:rsid w:val="00771E3B"/>
    <w:rsid w:val="00793571"/>
    <w:rsid w:val="008457DF"/>
    <w:rsid w:val="0085060F"/>
    <w:rsid w:val="008C73F8"/>
    <w:rsid w:val="00BA6C5C"/>
    <w:rsid w:val="00C04765"/>
    <w:rsid w:val="00C378D8"/>
    <w:rsid w:val="00D06344"/>
    <w:rsid w:val="00D32F52"/>
    <w:rsid w:val="00EB50A2"/>
    <w:rsid w:val="00FE07E0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</dc:creator>
  <cp:lastModifiedBy>Sohni</cp:lastModifiedBy>
  <cp:revision>16</cp:revision>
  <dcterms:created xsi:type="dcterms:W3CDTF">2013-03-18T13:52:00Z</dcterms:created>
  <dcterms:modified xsi:type="dcterms:W3CDTF">2013-06-07T11:13:00Z</dcterms:modified>
</cp:coreProperties>
</file>