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6BC6" w14:textId="1AA8F281" w:rsidR="00F03295" w:rsidRPr="0085250C" w:rsidRDefault="00F03295" w:rsidP="001E4E56">
      <w:pPr>
        <w:spacing w:line="360" w:lineRule="auto"/>
        <w:rPr>
          <w:rFonts w:cs="Arial"/>
          <w:color w:val="000000" w:themeColor="text1"/>
          <w:shd w:val="clear" w:color="auto" w:fill="FFFFFF"/>
        </w:rPr>
      </w:pPr>
      <w:r w:rsidRPr="0085250C">
        <w:rPr>
          <w:rFonts w:cs="Arial"/>
          <w:b/>
          <w:bCs/>
          <w:color w:val="000000" w:themeColor="text1"/>
          <w:shd w:val="clear" w:color="auto" w:fill="FFFFFF"/>
        </w:rPr>
        <w:t>S10 Table.</w:t>
      </w:r>
      <w:r w:rsidRPr="0085250C">
        <w:rPr>
          <w:rFonts w:cs="Arial"/>
          <w:color w:val="000000" w:themeColor="text1"/>
          <w:shd w:val="clear" w:color="auto" w:fill="FFFFFF"/>
        </w:rPr>
        <w:t xml:space="preserve"> Influence of Case-Control ratios on case enrichment in prostate cancer </w:t>
      </w:r>
      <w:r w:rsidR="00E06BDA" w:rsidRPr="0085250C">
        <w:rPr>
          <w:rFonts w:cs="Arial"/>
          <w:color w:val="000000" w:themeColor="text1"/>
          <w:shd w:val="clear" w:color="auto" w:fill="FFFFFF"/>
        </w:rPr>
        <w:t>CS</w:t>
      </w:r>
      <w:r w:rsidRPr="0085250C">
        <w:rPr>
          <w:rFonts w:cs="Arial"/>
          <w:color w:val="000000" w:themeColor="text1"/>
          <w:shd w:val="clear" w:color="auto" w:fill="FFFFFF"/>
        </w:rPr>
        <w:t>PRS top 10% versus bottom 90%.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2"/>
        <w:gridCol w:w="948"/>
        <w:gridCol w:w="1225"/>
        <w:gridCol w:w="1994"/>
        <w:gridCol w:w="1626"/>
        <w:gridCol w:w="2380"/>
        <w:gridCol w:w="1365"/>
      </w:tblGrid>
      <w:tr w:rsidR="0085250C" w:rsidRPr="0085250C" w14:paraId="52E5A803" w14:textId="77777777" w:rsidTr="00920BF3">
        <w:trPr>
          <w:trHeight w:val="260"/>
        </w:trPr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7FE68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Ancestry</w:t>
            </w: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Group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BB0A4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Cases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85313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Controls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BDB71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Targeted</w:t>
            </w: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Case-Control</w:t>
            </w: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Ratio*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6ACD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Actual</w:t>
            </w: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Case-Control</w:t>
            </w: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Ratio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1EE7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Top 10% vs. Bottom 90%</w:t>
            </w:r>
          </w:p>
        </w:tc>
      </w:tr>
      <w:tr w:rsidR="0085250C" w:rsidRPr="0085250C" w14:paraId="7BAB183D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6D0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967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1228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B58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4BD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C853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OR (95% CI)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653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</w:tr>
      <w:tr w:rsidR="0085250C" w:rsidRPr="0085250C" w14:paraId="2C1D8569" w14:textId="77777777" w:rsidTr="00920BF3">
        <w:trPr>
          <w:trHeight w:val="260"/>
        </w:trPr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E8D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B80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6,561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0E7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6,561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36E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2A8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E76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4.11 (3.73, 4.54)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D44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3.4E-172</w:t>
            </w:r>
          </w:p>
        </w:tc>
      </w:tr>
      <w:tr w:rsidR="0085250C" w:rsidRPr="0085250C" w14:paraId="5AC72074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D52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01F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82C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13,122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0E4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0C9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A89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4.07 (3.76, 4.40)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B21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7.1E-263</w:t>
            </w:r>
          </w:p>
        </w:tc>
      </w:tr>
      <w:tr w:rsidR="0085250C" w:rsidRPr="0085250C" w14:paraId="137EE3A1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E4E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0E7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CCF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32,805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E7A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008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0A6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3.95 (3.70, 4.21)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85E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5.0E-379</w:t>
            </w:r>
          </w:p>
        </w:tc>
      </w:tr>
      <w:tr w:rsidR="0085250C" w:rsidRPr="0085250C" w14:paraId="468CB4AC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57A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818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AB5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65,558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9CB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10B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EAD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3.98 (3.75, 4.23)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E47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4.1E-457</w:t>
            </w:r>
          </w:p>
        </w:tc>
      </w:tr>
      <w:tr w:rsidR="0085250C" w:rsidRPr="0085250C" w14:paraId="1C346D33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059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F93A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412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182,590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7CA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Unmatched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88B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1:27.8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5B4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4.00 (3.78, 4.23)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B27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3.8E-495</w:t>
            </w:r>
          </w:p>
        </w:tc>
      </w:tr>
      <w:tr w:rsidR="0085250C" w:rsidRPr="0085250C" w14:paraId="1A36E0D6" w14:textId="77777777" w:rsidTr="00920BF3">
        <w:trPr>
          <w:trHeight w:val="260"/>
        </w:trPr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F05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AFR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A63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CAA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E6C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E53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74E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1.98 (0.96, 4.08)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5FC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0.065</w:t>
            </w:r>
          </w:p>
        </w:tc>
      </w:tr>
      <w:tr w:rsidR="0085250C" w:rsidRPr="0085250C" w14:paraId="0EB8AE7C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242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68D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535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52D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726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A0E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2.01 (1.09, 3.69)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7C5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0.025</w:t>
            </w:r>
          </w:p>
        </w:tc>
      </w:tr>
      <w:tr w:rsidR="0085250C" w:rsidRPr="0085250C" w14:paraId="6D235EA8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8A3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23A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952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627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522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A3D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1:4.4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3F8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1.71 (1.02, 2.86)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0DE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0.043</w:t>
            </w:r>
          </w:p>
        </w:tc>
      </w:tr>
      <w:tr w:rsidR="0085250C" w:rsidRPr="0085250C" w14:paraId="641EE8DF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3EC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39E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069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927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13B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978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1:6.4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56F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1.78 (1.07, 2.94)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D0D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0.025</w:t>
            </w:r>
          </w:p>
        </w:tc>
      </w:tr>
      <w:tr w:rsidR="0085250C" w:rsidRPr="0085250C" w14:paraId="409E8B23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920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AFF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8A07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2,681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1E9D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Unmatched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50F2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1:18.6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86E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1.78 (1.09, 2.92)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CF06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0.022</w:t>
            </w:r>
          </w:p>
        </w:tc>
      </w:tr>
      <w:tr w:rsidR="0085250C" w:rsidRPr="0085250C" w14:paraId="555AFD6E" w14:textId="77777777" w:rsidTr="00920BF3">
        <w:trPr>
          <w:trHeight w:val="260"/>
        </w:trPr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85A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SAS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F32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857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40E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1A7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4D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4.62 (1.38, 15.5)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D03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0.013</w:t>
            </w:r>
          </w:p>
        </w:tc>
      </w:tr>
      <w:tr w:rsidR="0085250C" w:rsidRPr="0085250C" w14:paraId="52658F6F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5B0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BF6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259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BA0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393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0C6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7.55 (2.56, 22.3)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1E6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2.5E-4</w:t>
            </w:r>
          </w:p>
        </w:tc>
      </w:tr>
      <w:tr w:rsidR="0085250C" w:rsidRPr="0085250C" w14:paraId="698BF675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C8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18E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776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FB8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B5A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3C3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5.13 (2.38, 11.0)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B5D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3.0E-5</w:t>
            </w:r>
          </w:p>
        </w:tc>
      </w:tr>
      <w:tr w:rsidR="0085250C" w:rsidRPr="0085250C" w14:paraId="5429C7B6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E25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C6E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545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F96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B01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4E0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4.39 (2.24, 8.63)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16F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1.7E-5</w:t>
            </w:r>
          </w:p>
        </w:tc>
      </w:tr>
      <w:tr w:rsidR="0085250C" w:rsidRPr="0085250C" w14:paraId="79392AD1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83F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1F7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8FB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4,305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5E1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Unmatched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30F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1:84.4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309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4.41 (2.43, 8.04)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3DC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1.2E-6</w:t>
            </w:r>
          </w:p>
        </w:tc>
      </w:tr>
      <w:tr w:rsidR="0085250C" w:rsidRPr="0085250C" w14:paraId="79AC0BE2" w14:textId="77777777" w:rsidTr="00920BF3">
        <w:trPr>
          <w:trHeight w:val="260"/>
        </w:trPr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90F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EAS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CD2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B83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299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7F5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30D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algorithm did not converge</w:t>
            </w:r>
          </w:p>
        </w:tc>
      </w:tr>
      <w:tr w:rsidR="0085250C" w:rsidRPr="0085250C" w14:paraId="52D2FF93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E47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BEA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7A7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FB7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710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0C9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370 (0.36, 386,000)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569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0.095</w:t>
            </w:r>
          </w:p>
        </w:tc>
      </w:tr>
      <w:tr w:rsidR="0085250C" w:rsidRPr="0085250C" w14:paraId="1B92491E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BF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473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46E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911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E74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C3B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21.0 (1.05, 419)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434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0.046</w:t>
            </w:r>
          </w:p>
        </w:tc>
      </w:tr>
      <w:tr w:rsidR="0085250C" w:rsidRPr="0085250C" w14:paraId="02BA12F5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CD5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E9A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993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9BE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234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AC5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6.77 (1.10, 41.6)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47C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0.039</w:t>
            </w:r>
          </w:p>
        </w:tc>
      </w:tr>
      <w:tr w:rsidR="0085250C" w:rsidRPr="0085250C" w14:paraId="35CF83A2" w14:textId="77777777" w:rsidTr="00920BF3">
        <w:trPr>
          <w:trHeight w:val="260"/>
        </w:trPr>
        <w:tc>
          <w:tcPr>
            <w:tcW w:w="5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5FD6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64E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D55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929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Unmatched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B43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1:88.9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DE05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6.53 (1.71, 25.0)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655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0.0061</w:t>
            </w:r>
          </w:p>
        </w:tc>
      </w:tr>
    </w:tbl>
    <w:p w14:paraId="74F9A1F5" w14:textId="77777777" w:rsidR="00F03295" w:rsidRPr="0085250C" w:rsidRDefault="00F03295" w:rsidP="001E4E56">
      <w:pPr>
        <w:spacing w:line="36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85250C">
        <w:rPr>
          <w:rFonts w:cs="Arial"/>
          <w:color w:val="000000" w:themeColor="text1"/>
          <w:sz w:val="20"/>
          <w:szCs w:val="20"/>
          <w:shd w:val="clear" w:color="auto" w:fill="FFFFFF"/>
        </w:rPr>
        <w:t>* Maximal case control ratio when performing nearest neighbor (principal components PC1 – PC4, age at assessment) and exact matching (ancestry group, genotyping array).</w:t>
      </w:r>
    </w:p>
    <w:sectPr w:rsidR="00F03295" w:rsidRPr="0085250C" w:rsidSect="00ED58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vwwxzv0safsue525iv5df6xrv9xsdve5sv&quot;&gt;CombinedReferences2020&lt;record-ids&gt;&lt;item&gt;26&lt;/item&gt;&lt;item&gt;104&lt;/item&gt;&lt;item&gt;105&lt;/item&gt;&lt;item&gt;122&lt;/item&gt;&lt;item&gt;123&lt;/item&gt;&lt;item&gt;127&lt;/item&gt;&lt;item&gt;225&lt;/item&gt;&lt;item&gt;242&lt;/item&gt;&lt;item&gt;255&lt;/item&gt;&lt;item&gt;258&lt;/item&gt;&lt;item&gt;289&lt;/item&gt;&lt;item&gt;291&lt;/item&gt;&lt;item&gt;307&lt;/item&gt;&lt;item&gt;309&lt;/item&gt;&lt;item&gt;311&lt;/item&gt;&lt;/record-ids&gt;&lt;/item&gt;&lt;/Libraries&gt;"/>
  </w:docVars>
  <w:rsids>
    <w:rsidRoot w:val="00140CD0"/>
    <w:rsid w:val="00007D87"/>
    <w:rsid w:val="000111A8"/>
    <w:rsid w:val="00024AC2"/>
    <w:rsid w:val="000304AC"/>
    <w:rsid w:val="00032368"/>
    <w:rsid w:val="00042890"/>
    <w:rsid w:val="00042B6E"/>
    <w:rsid w:val="0005137E"/>
    <w:rsid w:val="000601EB"/>
    <w:rsid w:val="0007449D"/>
    <w:rsid w:val="00075067"/>
    <w:rsid w:val="0008353A"/>
    <w:rsid w:val="000A5FE1"/>
    <w:rsid w:val="000A6664"/>
    <w:rsid w:val="000C4967"/>
    <w:rsid w:val="000D2B3C"/>
    <w:rsid w:val="000D4716"/>
    <w:rsid w:val="000D6495"/>
    <w:rsid w:val="000F5E06"/>
    <w:rsid w:val="000F682B"/>
    <w:rsid w:val="00105BE4"/>
    <w:rsid w:val="00114277"/>
    <w:rsid w:val="001176ED"/>
    <w:rsid w:val="00136744"/>
    <w:rsid w:val="001376BD"/>
    <w:rsid w:val="00140CD0"/>
    <w:rsid w:val="00144402"/>
    <w:rsid w:val="0015236D"/>
    <w:rsid w:val="00155560"/>
    <w:rsid w:val="001623EA"/>
    <w:rsid w:val="00172CC6"/>
    <w:rsid w:val="001848F1"/>
    <w:rsid w:val="001877B0"/>
    <w:rsid w:val="00190E26"/>
    <w:rsid w:val="00192C25"/>
    <w:rsid w:val="001A3518"/>
    <w:rsid w:val="001A7F60"/>
    <w:rsid w:val="001B1D71"/>
    <w:rsid w:val="001B2E77"/>
    <w:rsid w:val="001B3B52"/>
    <w:rsid w:val="001C410C"/>
    <w:rsid w:val="001C7803"/>
    <w:rsid w:val="001D23D6"/>
    <w:rsid w:val="001D4379"/>
    <w:rsid w:val="001E0BA8"/>
    <w:rsid w:val="001E0F89"/>
    <w:rsid w:val="001E4E56"/>
    <w:rsid w:val="001F0BA2"/>
    <w:rsid w:val="001F0DCE"/>
    <w:rsid w:val="001F6C89"/>
    <w:rsid w:val="00207311"/>
    <w:rsid w:val="00207A5B"/>
    <w:rsid w:val="0021582C"/>
    <w:rsid w:val="0021703C"/>
    <w:rsid w:val="00222BC7"/>
    <w:rsid w:val="00222F1B"/>
    <w:rsid w:val="00231450"/>
    <w:rsid w:val="00234479"/>
    <w:rsid w:val="00242D05"/>
    <w:rsid w:val="002560D0"/>
    <w:rsid w:val="00263EF5"/>
    <w:rsid w:val="00270D0A"/>
    <w:rsid w:val="002734EE"/>
    <w:rsid w:val="00275E32"/>
    <w:rsid w:val="0027737D"/>
    <w:rsid w:val="00280F17"/>
    <w:rsid w:val="002917AE"/>
    <w:rsid w:val="002B1EB2"/>
    <w:rsid w:val="002B6127"/>
    <w:rsid w:val="002B78DA"/>
    <w:rsid w:val="002C742A"/>
    <w:rsid w:val="002D143F"/>
    <w:rsid w:val="002E1C5B"/>
    <w:rsid w:val="002E2131"/>
    <w:rsid w:val="002E235C"/>
    <w:rsid w:val="002E7EAE"/>
    <w:rsid w:val="00301FC3"/>
    <w:rsid w:val="00302AE8"/>
    <w:rsid w:val="0030458E"/>
    <w:rsid w:val="00305D6E"/>
    <w:rsid w:val="00306616"/>
    <w:rsid w:val="00312BE2"/>
    <w:rsid w:val="00313953"/>
    <w:rsid w:val="003209B1"/>
    <w:rsid w:val="00324D7F"/>
    <w:rsid w:val="00326063"/>
    <w:rsid w:val="00334B31"/>
    <w:rsid w:val="003361C0"/>
    <w:rsid w:val="003467E6"/>
    <w:rsid w:val="00352A04"/>
    <w:rsid w:val="00360FB6"/>
    <w:rsid w:val="003628C4"/>
    <w:rsid w:val="0036620D"/>
    <w:rsid w:val="003664ED"/>
    <w:rsid w:val="00372AFB"/>
    <w:rsid w:val="00374559"/>
    <w:rsid w:val="0038175D"/>
    <w:rsid w:val="00391C6E"/>
    <w:rsid w:val="003922B9"/>
    <w:rsid w:val="003A0A4C"/>
    <w:rsid w:val="003A2964"/>
    <w:rsid w:val="003A62F3"/>
    <w:rsid w:val="003B2316"/>
    <w:rsid w:val="003B4CFB"/>
    <w:rsid w:val="003B7E85"/>
    <w:rsid w:val="003D4C95"/>
    <w:rsid w:val="003E4F92"/>
    <w:rsid w:val="003E54FD"/>
    <w:rsid w:val="003F288A"/>
    <w:rsid w:val="003F6260"/>
    <w:rsid w:val="003F78B6"/>
    <w:rsid w:val="0040487A"/>
    <w:rsid w:val="00406E20"/>
    <w:rsid w:val="00411F13"/>
    <w:rsid w:val="00412474"/>
    <w:rsid w:val="00425216"/>
    <w:rsid w:val="00436263"/>
    <w:rsid w:val="00437256"/>
    <w:rsid w:val="004505A1"/>
    <w:rsid w:val="0045342A"/>
    <w:rsid w:val="00453F1D"/>
    <w:rsid w:val="004559E2"/>
    <w:rsid w:val="00457FD8"/>
    <w:rsid w:val="00470677"/>
    <w:rsid w:val="004732D7"/>
    <w:rsid w:val="0047362D"/>
    <w:rsid w:val="00475BA4"/>
    <w:rsid w:val="004808AD"/>
    <w:rsid w:val="004A097E"/>
    <w:rsid w:val="004A5AF7"/>
    <w:rsid w:val="004A6195"/>
    <w:rsid w:val="004A70F8"/>
    <w:rsid w:val="004A797C"/>
    <w:rsid w:val="004B26A6"/>
    <w:rsid w:val="004F0968"/>
    <w:rsid w:val="00500A33"/>
    <w:rsid w:val="00501487"/>
    <w:rsid w:val="00502342"/>
    <w:rsid w:val="00502A1D"/>
    <w:rsid w:val="005207F1"/>
    <w:rsid w:val="00522F30"/>
    <w:rsid w:val="00523F3E"/>
    <w:rsid w:val="00525E14"/>
    <w:rsid w:val="0053129C"/>
    <w:rsid w:val="00535E02"/>
    <w:rsid w:val="00543D85"/>
    <w:rsid w:val="0054484B"/>
    <w:rsid w:val="00550576"/>
    <w:rsid w:val="005557D2"/>
    <w:rsid w:val="00564A6F"/>
    <w:rsid w:val="00567107"/>
    <w:rsid w:val="00573E67"/>
    <w:rsid w:val="005743E8"/>
    <w:rsid w:val="0057644A"/>
    <w:rsid w:val="00580C17"/>
    <w:rsid w:val="00587CE5"/>
    <w:rsid w:val="00592EBA"/>
    <w:rsid w:val="0059438F"/>
    <w:rsid w:val="00596CC8"/>
    <w:rsid w:val="005A766F"/>
    <w:rsid w:val="005B013D"/>
    <w:rsid w:val="005B5DFA"/>
    <w:rsid w:val="005C4CC2"/>
    <w:rsid w:val="005C742C"/>
    <w:rsid w:val="005D0ECE"/>
    <w:rsid w:val="005E2471"/>
    <w:rsid w:val="005E30B3"/>
    <w:rsid w:val="005E4BA6"/>
    <w:rsid w:val="005E6C52"/>
    <w:rsid w:val="005F4E90"/>
    <w:rsid w:val="005F7B49"/>
    <w:rsid w:val="00615E4B"/>
    <w:rsid w:val="00617520"/>
    <w:rsid w:val="00623B10"/>
    <w:rsid w:val="0063764A"/>
    <w:rsid w:val="00637EBA"/>
    <w:rsid w:val="006443BE"/>
    <w:rsid w:val="0064582E"/>
    <w:rsid w:val="00665D5F"/>
    <w:rsid w:val="00667F19"/>
    <w:rsid w:val="00670CCC"/>
    <w:rsid w:val="00671C3B"/>
    <w:rsid w:val="006775B5"/>
    <w:rsid w:val="006858F5"/>
    <w:rsid w:val="00696835"/>
    <w:rsid w:val="006A37B2"/>
    <w:rsid w:val="006B687D"/>
    <w:rsid w:val="006C4A0E"/>
    <w:rsid w:val="006C7B5F"/>
    <w:rsid w:val="006D2D02"/>
    <w:rsid w:val="006D2F42"/>
    <w:rsid w:val="006D3C28"/>
    <w:rsid w:val="006D576E"/>
    <w:rsid w:val="006D5BB1"/>
    <w:rsid w:val="006E2816"/>
    <w:rsid w:val="006E78C0"/>
    <w:rsid w:val="006F1479"/>
    <w:rsid w:val="006F470B"/>
    <w:rsid w:val="006F4794"/>
    <w:rsid w:val="00710BA7"/>
    <w:rsid w:val="00711B7E"/>
    <w:rsid w:val="007160EA"/>
    <w:rsid w:val="00725257"/>
    <w:rsid w:val="00725DAF"/>
    <w:rsid w:val="00730A6D"/>
    <w:rsid w:val="0073695A"/>
    <w:rsid w:val="007408AF"/>
    <w:rsid w:val="00750A05"/>
    <w:rsid w:val="0075298B"/>
    <w:rsid w:val="0075321E"/>
    <w:rsid w:val="0075469C"/>
    <w:rsid w:val="00760454"/>
    <w:rsid w:val="00763EF5"/>
    <w:rsid w:val="00796952"/>
    <w:rsid w:val="0079793F"/>
    <w:rsid w:val="007A1C1A"/>
    <w:rsid w:val="007B6667"/>
    <w:rsid w:val="007C21A4"/>
    <w:rsid w:val="007C331D"/>
    <w:rsid w:val="007D264E"/>
    <w:rsid w:val="007D2C3F"/>
    <w:rsid w:val="007D3AF8"/>
    <w:rsid w:val="007E0504"/>
    <w:rsid w:val="007E0B33"/>
    <w:rsid w:val="007E1850"/>
    <w:rsid w:val="007E39AC"/>
    <w:rsid w:val="007E3F21"/>
    <w:rsid w:val="007F2667"/>
    <w:rsid w:val="007F3285"/>
    <w:rsid w:val="007F78B7"/>
    <w:rsid w:val="007F7C6D"/>
    <w:rsid w:val="008119A2"/>
    <w:rsid w:val="00813DDA"/>
    <w:rsid w:val="00815FE1"/>
    <w:rsid w:val="00817410"/>
    <w:rsid w:val="00836CF8"/>
    <w:rsid w:val="008408E1"/>
    <w:rsid w:val="00845C9A"/>
    <w:rsid w:val="0085250C"/>
    <w:rsid w:val="00873535"/>
    <w:rsid w:val="008747DA"/>
    <w:rsid w:val="0087780D"/>
    <w:rsid w:val="008845E5"/>
    <w:rsid w:val="00885272"/>
    <w:rsid w:val="00886368"/>
    <w:rsid w:val="008910FF"/>
    <w:rsid w:val="0089253B"/>
    <w:rsid w:val="0089414C"/>
    <w:rsid w:val="008A3A82"/>
    <w:rsid w:val="008B1EC6"/>
    <w:rsid w:val="008C2ECE"/>
    <w:rsid w:val="008C5036"/>
    <w:rsid w:val="008E4118"/>
    <w:rsid w:val="008E688E"/>
    <w:rsid w:val="008F009E"/>
    <w:rsid w:val="008F3AFF"/>
    <w:rsid w:val="00900345"/>
    <w:rsid w:val="00903B4A"/>
    <w:rsid w:val="00921065"/>
    <w:rsid w:val="0092144F"/>
    <w:rsid w:val="009231E5"/>
    <w:rsid w:val="00925D54"/>
    <w:rsid w:val="009329EF"/>
    <w:rsid w:val="00935FA9"/>
    <w:rsid w:val="00940F2B"/>
    <w:rsid w:val="00942B23"/>
    <w:rsid w:val="00947C5B"/>
    <w:rsid w:val="009510E9"/>
    <w:rsid w:val="00960486"/>
    <w:rsid w:val="00967FEC"/>
    <w:rsid w:val="0097197C"/>
    <w:rsid w:val="0097380E"/>
    <w:rsid w:val="0098294B"/>
    <w:rsid w:val="00997D18"/>
    <w:rsid w:val="009A4148"/>
    <w:rsid w:val="009B293A"/>
    <w:rsid w:val="009B480D"/>
    <w:rsid w:val="009C5569"/>
    <w:rsid w:val="009D1689"/>
    <w:rsid w:val="009D2835"/>
    <w:rsid w:val="009D560A"/>
    <w:rsid w:val="009D7AB8"/>
    <w:rsid w:val="009F5ED6"/>
    <w:rsid w:val="00A07E23"/>
    <w:rsid w:val="00A16AF6"/>
    <w:rsid w:val="00A21341"/>
    <w:rsid w:val="00A22486"/>
    <w:rsid w:val="00A35B08"/>
    <w:rsid w:val="00A43C29"/>
    <w:rsid w:val="00A52673"/>
    <w:rsid w:val="00A54185"/>
    <w:rsid w:val="00A55106"/>
    <w:rsid w:val="00A57E6E"/>
    <w:rsid w:val="00A649F3"/>
    <w:rsid w:val="00A71C0B"/>
    <w:rsid w:val="00A87BC4"/>
    <w:rsid w:val="00A9184C"/>
    <w:rsid w:val="00A94691"/>
    <w:rsid w:val="00AA2107"/>
    <w:rsid w:val="00AA4512"/>
    <w:rsid w:val="00AA55A9"/>
    <w:rsid w:val="00AB5489"/>
    <w:rsid w:val="00AB5575"/>
    <w:rsid w:val="00AC4B86"/>
    <w:rsid w:val="00AC5266"/>
    <w:rsid w:val="00AC7A78"/>
    <w:rsid w:val="00AD1464"/>
    <w:rsid w:val="00AD3999"/>
    <w:rsid w:val="00AD4202"/>
    <w:rsid w:val="00AE2A2A"/>
    <w:rsid w:val="00AE5DB2"/>
    <w:rsid w:val="00AE7C43"/>
    <w:rsid w:val="00AF209C"/>
    <w:rsid w:val="00B03E55"/>
    <w:rsid w:val="00B04F11"/>
    <w:rsid w:val="00B12573"/>
    <w:rsid w:val="00B21815"/>
    <w:rsid w:val="00B266CE"/>
    <w:rsid w:val="00B32FA1"/>
    <w:rsid w:val="00B34F12"/>
    <w:rsid w:val="00B43BDF"/>
    <w:rsid w:val="00B43BE4"/>
    <w:rsid w:val="00B51073"/>
    <w:rsid w:val="00B621C9"/>
    <w:rsid w:val="00B66C73"/>
    <w:rsid w:val="00B71564"/>
    <w:rsid w:val="00B74AC5"/>
    <w:rsid w:val="00B74E45"/>
    <w:rsid w:val="00B7757F"/>
    <w:rsid w:val="00B80DB3"/>
    <w:rsid w:val="00B84658"/>
    <w:rsid w:val="00BA62A9"/>
    <w:rsid w:val="00BB0570"/>
    <w:rsid w:val="00BD42FC"/>
    <w:rsid w:val="00BE05C7"/>
    <w:rsid w:val="00BF0AAD"/>
    <w:rsid w:val="00BF5929"/>
    <w:rsid w:val="00C055B0"/>
    <w:rsid w:val="00C130E9"/>
    <w:rsid w:val="00C14F08"/>
    <w:rsid w:val="00C24BBD"/>
    <w:rsid w:val="00C3018A"/>
    <w:rsid w:val="00C37010"/>
    <w:rsid w:val="00C37ACA"/>
    <w:rsid w:val="00C66B1F"/>
    <w:rsid w:val="00C87223"/>
    <w:rsid w:val="00C964C7"/>
    <w:rsid w:val="00CA1BCE"/>
    <w:rsid w:val="00CA2FA2"/>
    <w:rsid w:val="00CE312D"/>
    <w:rsid w:val="00CE6B7D"/>
    <w:rsid w:val="00CE7582"/>
    <w:rsid w:val="00CF169B"/>
    <w:rsid w:val="00D054E8"/>
    <w:rsid w:val="00D0725A"/>
    <w:rsid w:val="00D07446"/>
    <w:rsid w:val="00D25AC9"/>
    <w:rsid w:val="00D36F45"/>
    <w:rsid w:val="00D40F6A"/>
    <w:rsid w:val="00D55D0F"/>
    <w:rsid w:val="00D63F5C"/>
    <w:rsid w:val="00D7269D"/>
    <w:rsid w:val="00D75FEE"/>
    <w:rsid w:val="00D7780F"/>
    <w:rsid w:val="00D8202A"/>
    <w:rsid w:val="00D820FC"/>
    <w:rsid w:val="00D82EFC"/>
    <w:rsid w:val="00D939D3"/>
    <w:rsid w:val="00DA2596"/>
    <w:rsid w:val="00DC44B1"/>
    <w:rsid w:val="00DC6E8D"/>
    <w:rsid w:val="00DC7234"/>
    <w:rsid w:val="00DD660E"/>
    <w:rsid w:val="00DF6913"/>
    <w:rsid w:val="00E06BDA"/>
    <w:rsid w:val="00E15575"/>
    <w:rsid w:val="00E17B4A"/>
    <w:rsid w:val="00E202BD"/>
    <w:rsid w:val="00E30C14"/>
    <w:rsid w:val="00E415CC"/>
    <w:rsid w:val="00E52D4E"/>
    <w:rsid w:val="00E63252"/>
    <w:rsid w:val="00E72F0A"/>
    <w:rsid w:val="00E73F3D"/>
    <w:rsid w:val="00E73F8F"/>
    <w:rsid w:val="00E7578D"/>
    <w:rsid w:val="00E84AAF"/>
    <w:rsid w:val="00E863AB"/>
    <w:rsid w:val="00E86820"/>
    <w:rsid w:val="00E875AB"/>
    <w:rsid w:val="00E90733"/>
    <w:rsid w:val="00E93565"/>
    <w:rsid w:val="00EA2EBF"/>
    <w:rsid w:val="00EB56FB"/>
    <w:rsid w:val="00ED39C9"/>
    <w:rsid w:val="00ED554A"/>
    <w:rsid w:val="00ED58F7"/>
    <w:rsid w:val="00ED6AC5"/>
    <w:rsid w:val="00EF092E"/>
    <w:rsid w:val="00EF680A"/>
    <w:rsid w:val="00EF71CE"/>
    <w:rsid w:val="00F0177D"/>
    <w:rsid w:val="00F03295"/>
    <w:rsid w:val="00F05A08"/>
    <w:rsid w:val="00F22AFE"/>
    <w:rsid w:val="00F37BF3"/>
    <w:rsid w:val="00F672C3"/>
    <w:rsid w:val="00F71ED0"/>
    <w:rsid w:val="00F8019B"/>
    <w:rsid w:val="00F822B4"/>
    <w:rsid w:val="00F85915"/>
    <w:rsid w:val="00F97167"/>
    <w:rsid w:val="00FB0498"/>
    <w:rsid w:val="00FB2EB0"/>
    <w:rsid w:val="00FD210C"/>
    <w:rsid w:val="00FF069C"/>
    <w:rsid w:val="00FF1CE3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43D3C"/>
  <w15:chartTrackingRefBased/>
  <w15:docId w15:val="{19FBBBF9-4CFC-E041-A792-4D0FC05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D0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D0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D0"/>
    <w:rPr>
      <w:rFonts w:eastAsiaTheme="majorEastAsia" w:cstheme="majorBidi"/>
      <w:b/>
      <w:color w:val="000000" w:themeColor="text1"/>
      <w:sz w:val="28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40CD0"/>
  </w:style>
  <w:style w:type="table" w:styleId="PlainTable2">
    <w:name w:val="Plain Table 2"/>
    <w:basedOn w:val="TableNormal"/>
    <w:uiPriority w:val="42"/>
    <w:rsid w:val="00140CD0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96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964C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B5DFA"/>
    <w:pPr>
      <w:jc w:val="center"/>
    </w:pPr>
    <w:rPr>
      <w:rFonts w:cs="Arial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5DFA"/>
    <w:rPr>
      <w:rFonts w:eastAsia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B5DFA"/>
    <w:pPr>
      <w:jc w:val="both"/>
    </w:pPr>
    <w:rPr>
      <w:rFonts w:cs="Arial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5B5DFA"/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Fritsche, Lars</dc:creator>
  <cp:keywords/>
  <dc:description/>
  <cp:lastModifiedBy>Fritsche, Lars</cp:lastModifiedBy>
  <cp:revision>3</cp:revision>
  <dcterms:created xsi:type="dcterms:W3CDTF">2021-06-28T17:51:00Z</dcterms:created>
  <dcterms:modified xsi:type="dcterms:W3CDTF">2021-06-28T17:57:00Z</dcterms:modified>
</cp:coreProperties>
</file>