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4059" w14:textId="77777777" w:rsidR="00FE1828" w:rsidRDefault="00FE1828" w:rsidP="00FE1828">
      <w:pPr>
        <w:jc w:val="both"/>
        <w:rPr>
          <w:rFonts w:ascii="Calibri" w:hAnsi="Calibri"/>
          <w:b/>
          <w:sz w:val="22"/>
          <w:szCs w:val="22"/>
        </w:rPr>
      </w:pPr>
      <w:r w:rsidRPr="00993717">
        <w:rPr>
          <w:rFonts w:ascii="Calibri" w:hAnsi="Calibri"/>
          <w:b/>
          <w:sz w:val="22"/>
          <w:szCs w:val="22"/>
        </w:rPr>
        <w:t>S1</w:t>
      </w:r>
      <w:r w:rsidR="003B5243">
        <w:rPr>
          <w:rFonts w:ascii="Calibri" w:hAnsi="Calibri"/>
          <w:b/>
          <w:sz w:val="22"/>
          <w:szCs w:val="22"/>
        </w:rPr>
        <w:t xml:space="preserve"> </w:t>
      </w:r>
      <w:r>
        <w:rPr>
          <w:rFonts w:ascii="Calibri" w:hAnsi="Calibri"/>
          <w:b/>
          <w:sz w:val="22"/>
          <w:szCs w:val="22"/>
        </w:rPr>
        <w:t>Table</w:t>
      </w:r>
      <w:r w:rsidR="003B5243">
        <w:rPr>
          <w:rFonts w:ascii="Calibri" w:hAnsi="Calibri"/>
          <w:b/>
          <w:sz w:val="22"/>
          <w:szCs w:val="22"/>
        </w:rPr>
        <w:t>: List of strains</w:t>
      </w:r>
    </w:p>
    <w:p w14:paraId="62D2988E" w14:textId="77777777" w:rsidR="00FE1828" w:rsidRPr="0042658E" w:rsidRDefault="00FE1828" w:rsidP="00FE1828">
      <w:pPr>
        <w:jc w:val="both"/>
        <w:rPr>
          <w:rFonts w:ascii="Calibri" w:hAnsi="Calibri"/>
          <w:b/>
          <w:sz w:val="22"/>
          <w:szCs w:val="22"/>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96"/>
        <w:gridCol w:w="3078"/>
      </w:tblGrid>
      <w:tr w:rsidR="003B5243" w:rsidRPr="0042658E" w14:paraId="3001AAEA" w14:textId="77777777" w:rsidTr="00FE1828">
        <w:tc>
          <w:tcPr>
            <w:tcW w:w="2660" w:type="dxa"/>
            <w:shd w:val="clear" w:color="auto" w:fill="auto"/>
          </w:tcPr>
          <w:p w14:paraId="44337419" w14:textId="77777777" w:rsidR="00FE1828" w:rsidRPr="00FE1828" w:rsidRDefault="00FE1828" w:rsidP="00FE1828">
            <w:pPr>
              <w:jc w:val="both"/>
              <w:rPr>
                <w:rFonts w:ascii="Calibri" w:hAnsi="Calibri"/>
                <w:sz w:val="22"/>
                <w:szCs w:val="22"/>
              </w:rPr>
            </w:pPr>
            <w:r w:rsidRPr="00FE1828">
              <w:rPr>
                <w:rFonts w:ascii="Calibri" w:hAnsi="Calibri"/>
                <w:sz w:val="22"/>
                <w:szCs w:val="22"/>
              </w:rPr>
              <w:t xml:space="preserve">Strains </w:t>
            </w:r>
          </w:p>
        </w:tc>
        <w:tc>
          <w:tcPr>
            <w:tcW w:w="3496" w:type="dxa"/>
            <w:shd w:val="clear" w:color="auto" w:fill="auto"/>
          </w:tcPr>
          <w:p w14:paraId="04F9CE3C" w14:textId="77777777" w:rsidR="00FE1828" w:rsidRPr="00FE1828" w:rsidRDefault="00FE1828" w:rsidP="00FE1828">
            <w:pPr>
              <w:jc w:val="both"/>
              <w:rPr>
                <w:rFonts w:ascii="Calibri" w:hAnsi="Calibri"/>
                <w:sz w:val="22"/>
                <w:szCs w:val="22"/>
              </w:rPr>
            </w:pPr>
            <w:r w:rsidRPr="00FE1828">
              <w:rPr>
                <w:rFonts w:ascii="Calibri" w:hAnsi="Calibri"/>
                <w:sz w:val="22"/>
                <w:szCs w:val="22"/>
              </w:rPr>
              <w:t>Genotype</w:t>
            </w:r>
          </w:p>
        </w:tc>
        <w:tc>
          <w:tcPr>
            <w:tcW w:w="3078" w:type="dxa"/>
            <w:shd w:val="clear" w:color="auto" w:fill="auto"/>
          </w:tcPr>
          <w:p w14:paraId="7E697D87" w14:textId="77777777" w:rsidR="00FE1828" w:rsidRPr="00FE1828" w:rsidRDefault="00FE1828" w:rsidP="00FE1828">
            <w:pPr>
              <w:jc w:val="both"/>
              <w:rPr>
                <w:rFonts w:ascii="Calibri" w:hAnsi="Calibri"/>
                <w:sz w:val="22"/>
                <w:szCs w:val="22"/>
              </w:rPr>
            </w:pPr>
            <w:r w:rsidRPr="00FE1828">
              <w:rPr>
                <w:rFonts w:ascii="Calibri" w:hAnsi="Calibri"/>
                <w:sz w:val="22"/>
                <w:szCs w:val="22"/>
              </w:rPr>
              <w:t>Reference</w:t>
            </w:r>
          </w:p>
        </w:tc>
      </w:tr>
      <w:tr w:rsidR="003B5243" w:rsidRPr="0042658E" w14:paraId="580B9EF9" w14:textId="77777777" w:rsidTr="00FE1828">
        <w:tc>
          <w:tcPr>
            <w:tcW w:w="2660" w:type="dxa"/>
            <w:shd w:val="clear" w:color="auto" w:fill="auto"/>
          </w:tcPr>
          <w:p w14:paraId="4B06AB0C" w14:textId="77777777" w:rsidR="00FE1828" w:rsidRPr="00FE1828" w:rsidRDefault="00FE1828" w:rsidP="00FE1828">
            <w:pPr>
              <w:jc w:val="both"/>
              <w:rPr>
                <w:rFonts w:ascii="Calibri" w:hAnsi="Calibri"/>
                <w:sz w:val="22"/>
                <w:szCs w:val="22"/>
              </w:rPr>
            </w:pPr>
            <w:r w:rsidRPr="00FE1828">
              <w:rPr>
                <w:rFonts w:ascii="Calibri" w:hAnsi="Calibri"/>
                <w:sz w:val="22"/>
                <w:szCs w:val="22"/>
              </w:rPr>
              <w:t>WT (CEN.PK)</w:t>
            </w:r>
          </w:p>
        </w:tc>
        <w:tc>
          <w:tcPr>
            <w:tcW w:w="3496" w:type="dxa"/>
            <w:shd w:val="clear" w:color="auto" w:fill="auto"/>
          </w:tcPr>
          <w:p w14:paraId="59DCD59B" w14:textId="77777777" w:rsidR="00FE1828" w:rsidRPr="00FE1828" w:rsidRDefault="00FE1828" w:rsidP="00FE1828">
            <w:pPr>
              <w:jc w:val="both"/>
              <w:rPr>
                <w:rFonts w:ascii="Calibri" w:hAnsi="Calibri"/>
                <w:sz w:val="22"/>
                <w:szCs w:val="22"/>
              </w:rPr>
            </w:pPr>
            <w:r w:rsidRPr="00FE1828">
              <w:rPr>
                <w:rFonts w:ascii="Calibri" w:hAnsi="Calibri"/>
                <w:sz w:val="22"/>
                <w:szCs w:val="22"/>
              </w:rPr>
              <w:t>Mat a</w:t>
            </w:r>
          </w:p>
        </w:tc>
        <w:tc>
          <w:tcPr>
            <w:tcW w:w="3078" w:type="dxa"/>
            <w:shd w:val="clear" w:color="auto" w:fill="auto"/>
          </w:tcPr>
          <w:p w14:paraId="07FB8AE1" w14:textId="7932B402" w:rsidR="00FE1828" w:rsidRPr="00FE1828" w:rsidRDefault="003E602A" w:rsidP="003B5243">
            <w:pPr>
              <w:rPr>
                <w:rFonts w:ascii="Calibri" w:hAnsi="Calibri"/>
                <w:sz w:val="22"/>
                <w:szCs w:val="22"/>
                <w:lang w:val="en-US"/>
              </w:rPr>
            </w:pPr>
            <w:r>
              <w:rPr>
                <w:rFonts w:ascii="Calibri" w:hAnsi="Calibri"/>
                <w:sz w:val="22"/>
                <w:szCs w:val="22"/>
                <w:lang w:val="en-US"/>
              </w:rPr>
              <w:t>S1 Text Ref</w:t>
            </w:r>
            <w:r w:rsidR="006C42ED">
              <w:rPr>
                <w:rFonts w:ascii="Calibri" w:hAnsi="Calibri"/>
                <w:sz w:val="22"/>
                <w:szCs w:val="22"/>
                <w:lang w:val="en-US"/>
              </w:rPr>
              <w:t>erence</w:t>
            </w:r>
            <w:r>
              <w:rPr>
                <w:rFonts w:ascii="Calibri" w:hAnsi="Calibri"/>
                <w:sz w:val="22"/>
                <w:szCs w:val="22"/>
                <w:lang w:val="en-US"/>
              </w:rPr>
              <w:t xml:space="preserve"> </w:t>
            </w:r>
            <w:r w:rsidR="00FE1828" w:rsidRPr="00FE1828">
              <w:rPr>
                <w:rFonts w:ascii="Calibri" w:hAnsi="Calibri"/>
                <w:sz w:val="22"/>
                <w:szCs w:val="22"/>
                <w:lang w:val="en-US"/>
              </w:rPr>
              <w:fldChar w:fldCharType="begin" w:fldLock="1"/>
            </w:r>
            <w:r w:rsidR="00FE1828" w:rsidRPr="00FE1828">
              <w:rPr>
                <w:rFonts w:ascii="Calibri" w:hAnsi="Calibri"/>
                <w:sz w:val="22"/>
                <w:szCs w:val="22"/>
                <w:lang w:val="en-US"/>
              </w:rPr>
              <w:instrText>ADDIN CSL_CITATION {"citationItems":[{"id":"ITEM-1","itemData":{"ISSN":"1027152X","abstract":"Considering that the characterization in plants like a set of characteristics to differentiation they taxonomicment, in the present research was established as objective the selection of reliable and discriminant morphological variables, by means of the analysis of variance, coefficient of variation, lineal correlation, stepwise selection analysis and principal components analysis. The characteristics election were from leaf, flower and fruit set of hawthorn (Crataegus spp.), of the collection of accessions established in the genebank of the Universidad Autónoma Chapingo. The statistical methods that contributed more in the selection of these morphologic characteristics and definition of descriptors were: the coefficient of variation, the principal components analysis and their analysis of correlation, in addition to the criterion of the researcher, obtaining 35 characters that contributed more in the morphologic characterization, of a total of 76 variables. The discriminant variables were: leaves of reproductive shoots: perimeter, length of the major and smaller axis, elongation index, feret diameter, compaction index, basal angle and number of veins; leaves of short vegetative shoots: perimeter, length of the major and smaller axis, elongation index, feret diameter, compaction index, apical and basal angle, number of veins; leaves of long vegetative shoots: perimeter, length of the major and smaller axis, elongation index, feret diameter, compaction index, apical and basal angle; stomata in reproductive leaves: stomata frequency and length of stomata; and of flower: pedicel length, length of the floral receptacle, perimeter and feret diameter of the petals, length of the style, perimeter, length of the major axis and feret diameter of anther filaments.","author":[{"dropping-particle":"","family":"J.P. van Dijken","given":"J. Bauerb","non-dropping-particle":"","parse-names":false,"suffix":""},{"dropping-particle":"","family":"Brambillac","given":"L.","non-dropping-particle":"","parse-names":false,"suffix":""},{"dropping-particle":"","family":"Dubocd","given":"P.","non-dropping-particle":"","parse-names":false,"suffix":""},{"dropping-particle":"","family":"Francoise","given":"J.M.","non-dropping-particle":"","parse-names":false,"suffix":""},{"dropping-particle":"","family":"Gancedof","given":"C.","non-dropping-particle":"","parse-names":false,"suffix":""},{"dropping-particle":"","family":"Giusepping, M.L.F.HEijnenh","given":"J.J.","non-dropping-particle":"","parse-names":false,"suffix":""},{"dropping-particle":"","family":"Hoarei","given":"M.","non-dropping-particle":"","parse-names":false,"suffix":""},{"dropping-particle":"","family":"Langej","given":"H.C.","non-dropping-particle":"","parse-names":false,"suffix":""},{"dropping-particle":"","family":"Maddenk","given":"E.A.","non-dropping-particle":"","parse-names":false,"suffix":""},{"dropping-particle":"","family":"Niederbergerb","given":"P.","non-dropping-particle":"","parse-names":false,"suffix":""},{"dropping-particle":"","family":"Nielsend, J., J.L. Parroue , T. Petitf , D. Porroc","given":"M. Reussj","non-dropping-particle":"","parse-names":false,"suffix":""},{"dropping-particle":"van","family":"Rielg","given":"N.","non-dropping-particle":"","parse-names":false,"suffix":""},{"dropping-particle":"","family":"Rizzij","given":"M.","non-dropping-particle":"","parse-names":false,"suffix":""},{"dropping-particle":"","family":"H.Y. Steensmaa, k , C.T. Verripsg, J. Vindeløvd, Pronka","given":"J.T.","non-dropping-particle":"","parse-names":false,"suffix":""}],"container-title":"Enzyme and Microbial Technology","id":"ITEM-1","issued":{"date-parts":[["2000"]]},"page":"706-714","title":"An interlaboratory comparison of physiological and genetic properties of four Saccharomyces cerevisiae strains","type":"article-journal","volume":"26"},"uris":["http://www.mendeley.com/documents/?uuid=650d34fe-5454-41b7-8f4a-cfcf36357e38"]}],"mendeley":{"formattedCitation":"[12]","plainTextFormattedCitation":"[12]","previouslyFormattedCitation":"[12]"},"properties":{"noteIndex":0},"schema":"https://github.com/citation-style-language/schema/raw/master/csl-citation.json"}</w:instrText>
            </w:r>
            <w:r w:rsidR="00FE1828" w:rsidRPr="00FE1828">
              <w:rPr>
                <w:rFonts w:ascii="Calibri" w:hAnsi="Calibri"/>
                <w:sz w:val="22"/>
                <w:szCs w:val="22"/>
                <w:lang w:val="en-US"/>
              </w:rPr>
              <w:fldChar w:fldCharType="separate"/>
            </w:r>
            <w:r w:rsidR="00FE1828" w:rsidRPr="00FE1828">
              <w:rPr>
                <w:rFonts w:ascii="Calibri" w:hAnsi="Calibri"/>
                <w:noProof/>
                <w:sz w:val="22"/>
                <w:szCs w:val="22"/>
                <w:lang w:val="en-US"/>
              </w:rPr>
              <w:t>[12]</w:t>
            </w:r>
            <w:r w:rsidR="00FE1828" w:rsidRPr="00FE1828">
              <w:rPr>
                <w:rFonts w:ascii="Calibri" w:hAnsi="Calibri"/>
                <w:sz w:val="22"/>
                <w:szCs w:val="22"/>
                <w:lang w:val="en-US"/>
              </w:rPr>
              <w:fldChar w:fldCharType="end"/>
            </w:r>
          </w:p>
        </w:tc>
      </w:tr>
      <w:tr w:rsidR="003B5243" w:rsidRPr="0042658E" w14:paraId="34DB1C0E" w14:textId="77777777" w:rsidTr="00FE1828">
        <w:tc>
          <w:tcPr>
            <w:tcW w:w="2660" w:type="dxa"/>
            <w:shd w:val="clear" w:color="auto" w:fill="auto"/>
          </w:tcPr>
          <w:p w14:paraId="50DE8A00" w14:textId="77777777" w:rsidR="00FE1828" w:rsidRPr="00FE1828" w:rsidRDefault="00FE1828" w:rsidP="00FE1828">
            <w:pPr>
              <w:jc w:val="both"/>
              <w:rPr>
                <w:rFonts w:ascii="Calibri" w:hAnsi="Calibri"/>
                <w:sz w:val="22"/>
                <w:szCs w:val="22"/>
              </w:rPr>
            </w:pPr>
            <w:r w:rsidRPr="00FE1828">
              <w:rPr>
                <w:rFonts w:ascii="Calibri" w:hAnsi="Calibri"/>
                <w:sz w:val="22"/>
                <w:szCs w:val="22"/>
              </w:rPr>
              <w:t>Gcn4-HA</w:t>
            </w:r>
          </w:p>
        </w:tc>
        <w:tc>
          <w:tcPr>
            <w:tcW w:w="3496" w:type="dxa"/>
            <w:shd w:val="clear" w:color="auto" w:fill="auto"/>
          </w:tcPr>
          <w:p w14:paraId="04611026" w14:textId="77777777" w:rsidR="00FE1828" w:rsidRPr="00FE1828" w:rsidRDefault="00FE1828" w:rsidP="003B5243">
            <w:pPr>
              <w:pStyle w:val="NormalWeb"/>
              <w:rPr>
                <w:rFonts w:ascii="Calibri" w:hAnsi="Calibri"/>
                <w:sz w:val="22"/>
                <w:szCs w:val="22"/>
              </w:rPr>
            </w:pPr>
            <w:r w:rsidRPr="00FE1828">
              <w:rPr>
                <w:rFonts w:ascii="Calibri" w:hAnsi="Calibri"/>
                <w:sz w:val="22"/>
                <w:szCs w:val="22"/>
              </w:rPr>
              <w:t xml:space="preserve">MAT a, </w:t>
            </w:r>
            <w:r w:rsidRPr="00FE1828">
              <w:rPr>
                <w:rFonts w:ascii="Calibri" w:hAnsi="Calibri"/>
                <w:i/>
                <w:iCs/>
                <w:sz w:val="22"/>
                <w:szCs w:val="22"/>
              </w:rPr>
              <w:t xml:space="preserve">GCN4-HA-KanMX </w:t>
            </w:r>
          </w:p>
        </w:tc>
        <w:tc>
          <w:tcPr>
            <w:tcW w:w="3078" w:type="dxa"/>
            <w:shd w:val="clear" w:color="auto" w:fill="auto"/>
          </w:tcPr>
          <w:p w14:paraId="1AB535BC" w14:textId="0FC44FB6" w:rsidR="00FE1828" w:rsidRPr="00FE1828" w:rsidRDefault="003E602A" w:rsidP="003B5243">
            <w:pPr>
              <w:rPr>
                <w:rFonts w:ascii="Calibri" w:hAnsi="Calibri"/>
                <w:sz w:val="22"/>
                <w:szCs w:val="22"/>
                <w:lang w:val="en-US"/>
              </w:rPr>
            </w:pPr>
            <w:r>
              <w:rPr>
                <w:rFonts w:ascii="Calibri" w:hAnsi="Calibri"/>
                <w:sz w:val="22"/>
                <w:szCs w:val="22"/>
                <w:lang w:val="en-US"/>
              </w:rPr>
              <w:t>S1 Text Ref</w:t>
            </w:r>
            <w:r w:rsidR="006C42ED">
              <w:rPr>
                <w:rFonts w:ascii="Calibri" w:hAnsi="Calibri"/>
                <w:sz w:val="22"/>
                <w:szCs w:val="22"/>
                <w:lang w:val="en-US"/>
              </w:rPr>
              <w:t>erence</w:t>
            </w:r>
            <w:r>
              <w:rPr>
                <w:rFonts w:ascii="Calibri" w:hAnsi="Calibri"/>
                <w:sz w:val="22"/>
                <w:szCs w:val="22"/>
                <w:lang w:val="en-US"/>
              </w:rPr>
              <w:t xml:space="preserve"> </w:t>
            </w:r>
            <w:r w:rsidR="00FE1828" w:rsidRPr="00FE1828">
              <w:rPr>
                <w:rFonts w:ascii="Calibri" w:hAnsi="Calibri"/>
                <w:sz w:val="22"/>
                <w:szCs w:val="22"/>
                <w:lang w:val="en-US"/>
              </w:rPr>
              <w:fldChar w:fldCharType="begin" w:fldLock="1"/>
            </w:r>
            <w:r w:rsidR="00FE1828" w:rsidRPr="00FE1828">
              <w:rPr>
                <w:rFonts w:ascii="Calibri" w:hAnsi="Calibri"/>
                <w:sz w:val="22"/>
                <w:szCs w:val="22"/>
                <w:lang w:val="en-US"/>
              </w:rPr>
              <w:instrText>ADDIN CSL_CITATION {"citationItems":[{"id":"ITEM-1","itemData":{"DOI":"10.1091/mbc.E18-08-0515","ISSN":"1059-1524","abstract":"Methionine availability during overall amino acid limitation metabolically reprograms cells to support proliferation, the underlying basis for which remains unclear. Here we construct the organization of this methionine-mediated anabolic program using yeast. Combining comparative transcriptome analysis and biochemical and metabolic flux-based approaches, we discover that methionine rewires overall metabolic outputs by increasing the activity of a key regulatory node. This comprises the pentose phosphate pathway (PPP) coupled with reductive biosynthesis, the glutamate dehydrogenase (GDH)-dependent synthesis of glutamate/glutamine, and pyridoxal-5-phosphate (PLP)-dependent transamination capacity. This PPP-GDH-PLP node provides the required cofactors and/or substrates for subsequent rate-limiting reactions in the synthesis of amino acids and therefore nucleotides. These rate-limiting steps in amino acid biosynthesis are also induced in a methionine-dependent manner. This thereby results in a biochemical cascade establishing a hierarchically organized anabolic program. For this methionine-mediated anabolic program to be sustained, cells co-opt a ?starvation stress response? regulator, Gcn4p. Collectively, our data suggest a hierarchical metabolic framework explaining how methionine mediates an anabolic switch.","author":[{"dropping-particle":"","family":"Walvekar","given":"Adhish S","non-dropping-particle":"","parse-names":false,"suffix":""},{"dropping-particle":"","family":"Srinivasan","given":"Rajalakshmi","non-dropping-particle":"","parse-names":false,"suffix":""},{"dropping-particle":"","family":"Gupta","given":"Ritu","non-dropping-particle":"","parse-names":false,"suffix":""},{"dropping-particle":"","family":"Laxman","given":"Sunil","non-dropping-particle":"","parse-names":false,"suffix":""}],"container-title":"Molecular Biology of the Cell","id":"ITEM-1","issue":"26","issued":{"date-parts":[["2018","10","24"]]},"note":"doi: 10.1091/mbc.E18-08-0515","page":"3183-3200","publisher":"American Society for Cell Biology (mboc)","title":"Methionine coordinates a hierarchically organized anabolic program enabling proliferation","type":"article-journal","volume":"29"},"uris":["http://www.mendeley.com/documents/?uuid=216427f9-ffd1-4857-b225-acdaaa1bb87b"]}],"mendeley":{"formattedCitation":"[5]","plainTextFormattedCitation":"[5]","previouslyFormattedCitation":"[5]"},"properties":{"noteIndex":0},"schema":"https://github.com/citation-style-language/schema/raw/master/csl-citation.json"}</w:instrText>
            </w:r>
            <w:r w:rsidR="00FE1828" w:rsidRPr="00FE1828">
              <w:rPr>
                <w:rFonts w:ascii="Calibri" w:hAnsi="Calibri"/>
                <w:sz w:val="22"/>
                <w:szCs w:val="22"/>
                <w:lang w:val="en-US"/>
              </w:rPr>
              <w:fldChar w:fldCharType="separate"/>
            </w:r>
            <w:r w:rsidR="00FE1828" w:rsidRPr="00FE1828">
              <w:rPr>
                <w:rFonts w:ascii="Calibri" w:hAnsi="Calibri"/>
                <w:noProof/>
                <w:sz w:val="22"/>
                <w:szCs w:val="22"/>
                <w:lang w:val="en-US"/>
              </w:rPr>
              <w:t>[5]</w:t>
            </w:r>
            <w:r w:rsidR="00FE1828" w:rsidRPr="00FE1828">
              <w:rPr>
                <w:rFonts w:ascii="Calibri" w:hAnsi="Calibri"/>
                <w:sz w:val="22"/>
                <w:szCs w:val="22"/>
                <w:lang w:val="en-US"/>
              </w:rPr>
              <w:fldChar w:fldCharType="end"/>
            </w:r>
          </w:p>
        </w:tc>
      </w:tr>
      <w:tr w:rsidR="003B5243" w:rsidRPr="0042658E" w14:paraId="5B94BA19" w14:textId="77777777" w:rsidTr="00FE1828">
        <w:tc>
          <w:tcPr>
            <w:tcW w:w="2660" w:type="dxa"/>
            <w:shd w:val="clear" w:color="auto" w:fill="auto"/>
          </w:tcPr>
          <w:p w14:paraId="54D005C0" w14:textId="77777777" w:rsidR="00FE1828" w:rsidRPr="00FE1828" w:rsidRDefault="00FE1828" w:rsidP="00FE1828">
            <w:pPr>
              <w:jc w:val="both"/>
              <w:rPr>
                <w:rFonts w:ascii="Calibri" w:hAnsi="Calibri"/>
                <w:sz w:val="22"/>
                <w:szCs w:val="22"/>
              </w:rPr>
            </w:pPr>
            <w:r w:rsidRPr="00FE1828">
              <w:rPr>
                <w:rFonts w:ascii="Calibri" w:hAnsi="Calibri"/>
                <w:sz w:val="22"/>
                <w:szCs w:val="22"/>
              </w:rPr>
              <w:t>Gcn4-FLAG</w:t>
            </w:r>
          </w:p>
        </w:tc>
        <w:tc>
          <w:tcPr>
            <w:tcW w:w="3496" w:type="dxa"/>
            <w:shd w:val="clear" w:color="auto" w:fill="auto"/>
          </w:tcPr>
          <w:p w14:paraId="4B796739" w14:textId="77777777" w:rsidR="00FE1828" w:rsidRPr="00FE1828" w:rsidRDefault="00FE1828" w:rsidP="003B5243">
            <w:pPr>
              <w:pStyle w:val="NormalWeb"/>
              <w:rPr>
                <w:rFonts w:ascii="Calibri" w:hAnsi="Calibri"/>
                <w:sz w:val="22"/>
                <w:szCs w:val="22"/>
              </w:rPr>
            </w:pPr>
            <w:r w:rsidRPr="00FE1828">
              <w:rPr>
                <w:rFonts w:ascii="Calibri" w:hAnsi="Calibri"/>
                <w:sz w:val="22"/>
                <w:szCs w:val="22"/>
              </w:rPr>
              <w:t xml:space="preserve">MAT a, </w:t>
            </w:r>
            <w:r w:rsidRPr="00FE1828">
              <w:rPr>
                <w:rFonts w:ascii="Calibri" w:hAnsi="Calibri"/>
                <w:i/>
                <w:iCs/>
                <w:sz w:val="22"/>
                <w:szCs w:val="22"/>
              </w:rPr>
              <w:t xml:space="preserve">GCN4-FLAG-KanMX </w:t>
            </w:r>
          </w:p>
        </w:tc>
        <w:tc>
          <w:tcPr>
            <w:tcW w:w="3078" w:type="dxa"/>
            <w:shd w:val="clear" w:color="auto" w:fill="auto"/>
          </w:tcPr>
          <w:p w14:paraId="0B79D2B2" w14:textId="77777777" w:rsidR="00FE1828" w:rsidRPr="00FE1828" w:rsidRDefault="00FE1828" w:rsidP="00FE1828">
            <w:pPr>
              <w:jc w:val="both"/>
              <w:rPr>
                <w:rFonts w:ascii="Calibri" w:hAnsi="Calibri"/>
                <w:sz w:val="22"/>
                <w:szCs w:val="22"/>
              </w:rPr>
            </w:pPr>
            <w:r w:rsidRPr="00FE1828">
              <w:rPr>
                <w:rFonts w:ascii="Calibri" w:hAnsi="Calibri"/>
                <w:sz w:val="22"/>
                <w:szCs w:val="22"/>
              </w:rPr>
              <w:t>This Study</w:t>
            </w:r>
          </w:p>
        </w:tc>
      </w:tr>
      <w:tr w:rsidR="003B5243" w:rsidRPr="0042658E" w14:paraId="6F80A36C" w14:textId="77777777" w:rsidTr="00FE1828">
        <w:trPr>
          <w:trHeight w:val="389"/>
        </w:trPr>
        <w:tc>
          <w:tcPr>
            <w:tcW w:w="2660" w:type="dxa"/>
            <w:shd w:val="clear" w:color="auto" w:fill="auto"/>
          </w:tcPr>
          <w:p w14:paraId="73B43D33" w14:textId="77777777" w:rsidR="00FE1828" w:rsidRPr="00FE1828" w:rsidRDefault="00FE1828" w:rsidP="00FE1828">
            <w:pPr>
              <w:jc w:val="both"/>
              <w:rPr>
                <w:rFonts w:ascii="Calibri" w:hAnsi="Calibri"/>
                <w:sz w:val="22"/>
                <w:szCs w:val="22"/>
              </w:rPr>
            </w:pPr>
            <w:r w:rsidRPr="00FE1828">
              <w:rPr>
                <w:rFonts w:ascii="Calibri" w:hAnsi="Calibri"/>
                <w:i/>
                <w:iCs/>
                <w:sz w:val="22"/>
                <w:szCs w:val="22"/>
              </w:rPr>
              <w:t>gcn4Δ::NAT</w:t>
            </w:r>
          </w:p>
        </w:tc>
        <w:tc>
          <w:tcPr>
            <w:tcW w:w="3496" w:type="dxa"/>
            <w:shd w:val="clear" w:color="auto" w:fill="auto"/>
          </w:tcPr>
          <w:p w14:paraId="649CD1D9" w14:textId="77777777" w:rsidR="00FE1828" w:rsidRPr="00FE1828" w:rsidRDefault="00FE1828" w:rsidP="003B5243">
            <w:pPr>
              <w:pStyle w:val="NormalWeb"/>
              <w:rPr>
                <w:rFonts w:ascii="Calibri" w:hAnsi="Calibri"/>
                <w:sz w:val="22"/>
                <w:szCs w:val="22"/>
              </w:rPr>
            </w:pPr>
            <w:r w:rsidRPr="00FE1828">
              <w:rPr>
                <w:rFonts w:ascii="Calibri" w:hAnsi="Calibri"/>
                <w:sz w:val="22"/>
                <w:szCs w:val="22"/>
              </w:rPr>
              <w:t xml:space="preserve">MAT a, </w:t>
            </w:r>
            <w:r w:rsidRPr="00FE1828">
              <w:rPr>
                <w:rFonts w:ascii="Calibri" w:hAnsi="Calibri"/>
                <w:i/>
                <w:iCs/>
                <w:sz w:val="22"/>
                <w:szCs w:val="22"/>
              </w:rPr>
              <w:t xml:space="preserve">gcn4Δ::NAT </w:t>
            </w:r>
          </w:p>
        </w:tc>
        <w:tc>
          <w:tcPr>
            <w:tcW w:w="3078" w:type="dxa"/>
            <w:shd w:val="clear" w:color="auto" w:fill="auto"/>
          </w:tcPr>
          <w:p w14:paraId="6F2B69A4" w14:textId="18A3699F" w:rsidR="00FE1828" w:rsidRPr="00FE1828" w:rsidRDefault="003E602A" w:rsidP="003B5243">
            <w:pPr>
              <w:rPr>
                <w:rFonts w:ascii="Calibri" w:hAnsi="Calibri"/>
                <w:sz w:val="22"/>
                <w:szCs w:val="22"/>
                <w:lang w:val="en-US"/>
              </w:rPr>
            </w:pPr>
            <w:r>
              <w:rPr>
                <w:rFonts w:ascii="Calibri" w:hAnsi="Calibri"/>
                <w:sz w:val="22"/>
                <w:szCs w:val="22"/>
                <w:lang w:val="en-US"/>
              </w:rPr>
              <w:t>S1 Text Ref</w:t>
            </w:r>
            <w:r w:rsidR="006C42ED">
              <w:rPr>
                <w:rFonts w:ascii="Calibri" w:hAnsi="Calibri"/>
                <w:sz w:val="22"/>
                <w:szCs w:val="22"/>
                <w:lang w:val="en-US"/>
              </w:rPr>
              <w:t>erence</w:t>
            </w:r>
            <w:bookmarkStart w:id="0" w:name="_GoBack"/>
            <w:bookmarkEnd w:id="0"/>
            <w:r>
              <w:rPr>
                <w:rFonts w:ascii="Calibri" w:hAnsi="Calibri"/>
                <w:sz w:val="22"/>
                <w:szCs w:val="22"/>
                <w:lang w:val="en-US"/>
              </w:rPr>
              <w:t xml:space="preserve"> </w:t>
            </w:r>
            <w:r w:rsidR="00FE1828" w:rsidRPr="00FE1828">
              <w:rPr>
                <w:rFonts w:ascii="Calibri" w:hAnsi="Calibri"/>
                <w:sz w:val="22"/>
                <w:szCs w:val="22"/>
                <w:lang w:val="en-US"/>
              </w:rPr>
              <w:fldChar w:fldCharType="begin" w:fldLock="1"/>
            </w:r>
            <w:r w:rsidR="00FE1828" w:rsidRPr="00FE1828">
              <w:rPr>
                <w:rFonts w:ascii="Calibri" w:hAnsi="Calibri"/>
                <w:sz w:val="22"/>
                <w:szCs w:val="22"/>
                <w:lang w:val="en-US"/>
              </w:rPr>
              <w:instrText>ADDIN CSL_CITATION {"citationItems":[{"id":"ITEM-1","itemData":{"DOI":"10.1091/mbc.E18-08-0515","ISSN":"1059-1524","abstract":"Methionine availability during overall amino acid limitation metabolically reprograms cells to support proliferation, the underlying basis for which remains unclear. Here we construct the organization of this methionine-mediated anabolic program using yeast. Combining comparative transcriptome analysis and biochemical and metabolic flux-based approaches, we discover that methionine rewires overall metabolic outputs by increasing the activity of a key regulatory node. This comprises the pentose phosphate pathway (PPP) coupled with reductive biosynthesis, the glutamate dehydrogenase (GDH)-dependent synthesis of glutamate/glutamine, and pyridoxal-5-phosphate (PLP)-dependent transamination capacity. This PPP-GDH-PLP node provides the required cofactors and/or substrates for subsequent rate-limiting reactions in the synthesis of amino acids and therefore nucleotides. These rate-limiting steps in amino acid biosynthesis are also induced in a methionine-dependent manner. This thereby results in a biochemical cascade establishing a hierarchically organized anabolic program. For this methionine-mediated anabolic program to be sustained, cells co-opt a ?starvation stress response? regulator, Gcn4p. Collectively, our data suggest a hierarchical metabolic framework explaining how methionine mediates an anabolic switch.","author":[{"dropping-particle":"","family":"Walvekar","given":"Adhish S","non-dropping-particle":"","parse-names":false,"suffix":""},{"dropping-particle":"","family":"Srinivasan","given":"Rajalakshmi","non-dropping-particle":"","parse-names":false,"suffix":""},{"dropping-particle":"","family":"Gupta","given":"Ritu","non-dropping-particle":"","parse-names":false,"suffix":""},{"dropping-particle":"","family":"Laxman","given":"Sunil","non-dropping-particle":"","parse-names":false,"suffix":""}],"container-title":"Molecular Biology of the Cell","id":"ITEM-1","issue":"26","issued":{"date-parts":[["2018","10","24"]]},"note":"doi: 10.1091/mbc.E18-08-0515","page":"3183-3200","publisher":"American Society for Cell Biology (mboc)","title":"Methionine coordinates a hierarchically organized anabolic program enabling proliferation","type":"article-journal","volume":"29"},"uris":["http://www.mendeley.com/documents/?uuid=216427f9-ffd1-4857-b225-acdaaa1bb87b"]}],"mendeley":{"formattedCitation":"[5]","plainTextFormattedCitation":"[5]","previouslyFormattedCitation":"[5]"},"properties":{"noteIndex":0},"schema":"https://github.com/citation-style-language/schema/raw/master/csl-citation.json"}</w:instrText>
            </w:r>
            <w:r w:rsidR="00FE1828" w:rsidRPr="00FE1828">
              <w:rPr>
                <w:rFonts w:ascii="Calibri" w:hAnsi="Calibri"/>
                <w:sz w:val="22"/>
                <w:szCs w:val="22"/>
                <w:lang w:val="en-US"/>
              </w:rPr>
              <w:fldChar w:fldCharType="separate"/>
            </w:r>
            <w:r w:rsidR="00FE1828" w:rsidRPr="00FE1828">
              <w:rPr>
                <w:rFonts w:ascii="Calibri" w:hAnsi="Calibri"/>
                <w:noProof/>
                <w:sz w:val="22"/>
                <w:szCs w:val="22"/>
                <w:lang w:val="en-US"/>
              </w:rPr>
              <w:t>[5]</w:t>
            </w:r>
            <w:r w:rsidR="00FE1828" w:rsidRPr="00FE1828">
              <w:rPr>
                <w:rFonts w:ascii="Calibri" w:hAnsi="Calibri"/>
                <w:sz w:val="22"/>
                <w:szCs w:val="22"/>
                <w:lang w:val="en-US"/>
              </w:rPr>
              <w:fldChar w:fldCharType="end"/>
            </w:r>
          </w:p>
        </w:tc>
      </w:tr>
      <w:tr w:rsidR="003B5243" w:rsidRPr="0042658E" w14:paraId="4392E843" w14:textId="77777777" w:rsidTr="00FE1828">
        <w:tc>
          <w:tcPr>
            <w:tcW w:w="2660" w:type="dxa"/>
            <w:shd w:val="clear" w:color="auto" w:fill="auto"/>
          </w:tcPr>
          <w:p w14:paraId="350A6756" w14:textId="77777777" w:rsidR="00FE1828" w:rsidRPr="00FE1828" w:rsidRDefault="00FE1828" w:rsidP="00FE1828">
            <w:pPr>
              <w:jc w:val="both"/>
              <w:rPr>
                <w:rFonts w:ascii="Calibri" w:hAnsi="Calibri"/>
                <w:sz w:val="22"/>
                <w:szCs w:val="22"/>
              </w:rPr>
            </w:pPr>
            <w:r w:rsidRPr="00FE1828">
              <w:rPr>
                <w:rFonts w:ascii="Calibri" w:hAnsi="Calibri"/>
                <w:i/>
                <w:iCs/>
                <w:sz w:val="22"/>
                <w:szCs w:val="22"/>
              </w:rPr>
              <w:t>gcn4Δ::</w:t>
            </w:r>
            <w:proofErr w:type="spellStart"/>
            <w:r w:rsidRPr="00FE1828">
              <w:rPr>
                <w:rFonts w:ascii="Calibri" w:hAnsi="Calibri"/>
                <w:i/>
                <w:iCs/>
                <w:sz w:val="22"/>
                <w:szCs w:val="22"/>
              </w:rPr>
              <w:t>KanMX</w:t>
            </w:r>
            <w:proofErr w:type="spellEnd"/>
          </w:p>
        </w:tc>
        <w:tc>
          <w:tcPr>
            <w:tcW w:w="3496" w:type="dxa"/>
            <w:shd w:val="clear" w:color="auto" w:fill="auto"/>
          </w:tcPr>
          <w:p w14:paraId="6B2B26E1" w14:textId="77777777" w:rsidR="00FE1828" w:rsidRPr="00FE1828" w:rsidRDefault="00FE1828" w:rsidP="003B5243">
            <w:pPr>
              <w:pStyle w:val="NormalWeb"/>
              <w:rPr>
                <w:rFonts w:ascii="Calibri" w:hAnsi="Calibri"/>
                <w:sz w:val="22"/>
                <w:szCs w:val="22"/>
              </w:rPr>
            </w:pPr>
            <w:r w:rsidRPr="00FE1828">
              <w:rPr>
                <w:rFonts w:ascii="Calibri" w:hAnsi="Calibri"/>
                <w:sz w:val="22"/>
                <w:szCs w:val="22"/>
              </w:rPr>
              <w:t xml:space="preserve">MAT a, </w:t>
            </w:r>
            <w:r w:rsidRPr="00FE1828">
              <w:rPr>
                <w:rFonts w:ascii="Calibri" w:hAnsi="Calibri"/>
                <w:i/>
                <w:iCs/>
                <w:sz w:val="22"/>
                <w:szCs w:val="22"/>
              </w:rPr>
              <w:t>gcn4Δ::</w:t>
            </w:r>
            <w:proofErr w:type="spellStart"/>
            <w:r w:rsidRPr="00FE1828">
              <w:rPr>
                <w:rFonts w:ascii="Calibri" w:hAnsi="Calibri"/>
                <w:i/>
                <w:iCs/>
                <w:sz w:val="22"/>
                <w:szCs w:val="22"/>
              </w:rPr>
              <w:t>KanMX</w:t>
            </w:r>
            <w:proofErr w:type="spellEnd"/>
          </w:p>
        </w:tc>
        <w:tc>
          <w:tcPr>
            <w:tcW w:w="3078" w:type="dxa"/>
            <w:shd w:val="clear" w:color="auto" w:fill="auto"/>
          </w:tcPr>
          <w:p w14:paraId="717F815E" w14:textId="77777777" w:rsidR="00FE1828" w:rsidRPr="00FE1828" w:rsidRDefault="00FE1828" w:rsidP="003B5243">
            <w:pPr>
              <w:rPr>
                <w:rFonts w:ascii="Calibri" w:hAnsi="Calibri"/>
                <w:sz w:val="22"/>
                <w:szCs w:val="22"/>
              </w:rPr>
            </w:pPr>
            <w:r w:rsidRPr="00FE1828">
              <w:rPr>
                <w:rFonts w:ascii="Calibri" w:hAnsi="Calibri"/>
                <w:sz w:val="22"/>
                <w:szCs w:val="22"/>
              </w:rPr>
              <w:t>This Study</w:t>
            </w:r>
          </w:p>
        </w:tc>
      </w:tr>
    </w:tbl>
    <w:p w14:paraId="75E52894" w14:textId="65EE2260" w:rsidR="00BB3799" w:rsidRDefault="00BB3799"/>
    <w:p w14:paraId="24321C1A" w14:textId="77777777" w:rsidR="003E602A" w:rsidRDefault="003E602A"/>
    <w:sectPr w:rsidR="003E602A" w:rsidSect="00A465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828"/>
    <w:rsid w:val="003B5243"/>
    <w:rsid w:val="003E602A"/>
    <w:rsid w:val="006C42ED"/>
    <w:rsid w:val="00A46529"/>
    <w:rsid w:val="00B47739"/>
    <w:rsid w:val="00BB3799"/>
    <w:rsid w:val="00FE18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7805864"/>
  <w14:defaultImageDpi w14:val="32767"/>
  <w15:chartTrackingRefBased/>
  <w15:docId w15:val="{172AC7A0-B6FA-954B-9EF3-0230939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828"/>
    <w:pPr>
      <w:spacing w:before="100" w:beforeAutospacing="1" w:after="100" w:afterAutospacing="1"/>
    </w:pPr>
  </w:style>
  <w:style w:type="table" w:styleId="TableGrid">
    <w:name w:val="Table Grid"/>
    <w:basedOn w:val="TableNormal"/>
    <w:uiPriority w:val="39"/>
    <w:rsid w:val="00FE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2020-11-20T10:19:00Z</dcterms:created>
  <dcterms:modified xsi:type="dcterms:W3CDTF">2020-11-20T10:19:00Z</dcterms:modified>
</cp:coreProperties>
</file>