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81"/>
        <w:gridCol w:w="1355"/>
        <w:gridCol w:w="1541"/>
        <w:gridCol w:w="938"/>
        <w:gridCol w:w="1693"/>
        <w:gridCol w:w="697"/>
        <w:gridCol w:w="1067"/>
        <w:gridCol w:w="733"/>
        <w:gridCol w:w="720"/>
      </w:tblGrid>
      <w:tr w:rsidR="00116C25" w:rsidRPr="00C9225E" w:rsidTr="002B455E">
        <w:trPr>
          <w:trHeight w:val="300"/>
        </w:trPr>
        <w:tc>
          <w:tcPr>
            <w:tcW w:w="881" w:type="dxa"/>
            <w:noWrap/>
            <w:hideMark/>
          </w:tcPr>
          <w:p w:rsidR="00116C25" w:rsidRPr="00C9225E" w:rsidRDefault="00116C25" w:rsidP="002B455E">
            <w:r w:rsidRPr="00C9225E">
              <w:t>sample size</w:t>
            </w:r>
          </w:p>
        </w:tc>
        <w:tc>
          <w:tcPr>
            <w:tcW w:w="1355" w:type="dxa"/>
            <w:noWrap/>
            <w:hideMark/>
          </w:tcPr>
          <w:p w:rsidR="00116C25" w:rsidRPr="00C9225E" w:rsidRDefault="00116C25" w:rsidP="002B455E">
            <w:r w:rsidRPr="00C9225E">
              <w:t>demography</w:t>
            </w:r>
          </w:p>
        </w:tc>
        <w:tc>
          <w:tcPr>
            <w:tcW w:w="1541" w:type="dxa"/>
            <w:noWrap/>
            <w:hideMark/>
          </w:tcPr>
          <w:p w:rsidR="00116C25" w:rsidRDefault="00116C25" w:rsidP="002B455E">
            <w:r>
              <w:t>r</w:t>
            </w:r>
            <w:r w:rsidRPr="00C9225E">
              <w:t>ecombination</w:t>
            </w:r>
            <w:r>
              <w:t xml:space="preserve"> </w:t>
            </w:r>
          </w:p>
          <w:p w:rsidR="00116C25" w:rsidRPr="00C9225E" w:rsidRDefault="00116C25" w:rsidP="002B455E">
            <w:r w:rsidRPr="00C9225E">
              <w:t>rate</w:t>
            </w:r>
          </w:p>
        </w:tc>
        <w:tc>
          <w:tcPr>
            <w:tcW w:w="938" w:type="dxa"/>
            <w:noWrap/>
            <w:hideMark/>
          </w:tcPr>
          <w:p w:rsidR="00116C25" w:rsidRPr="00C9225E" w:rsidRDefault="00116C25" w:rsidP="002B455E">
            <w:r w:rsidRPr="00C9225E">
              <w:t>phasing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allele frequencies</w:t>
            </w:r>
          </w:p>
        </w:tc>
        <w:tc>
          <w:tcPr>
            <w:tcW w:w="697" w:type="dxa"/>
            <w:noWrap/>
            <w:hideMark/>
          </w:tcPr>
          <w:p w:rsidR="00116C25" w:rsidRDefault="00116C25" w:rsidP="002B455E">
            <w:r w:rsidRPr="00C9225E">
              <w:t>Error</w:t>
            </w:r>
          </w:p>
          <w:p w:rsidR="00116C25" w:rsidRPr="00C9225E" w:rsidRDefault="00116C25" w:rsidP="002B455E"/>
        </w:tc>
        <w:tc>
          <w:tcPr>
            <w:tcW w:w="1067" w:type="dxa"/>
          </w:tcPr>
          <w:p w:rsidR="00116C25" w:rsidRDefault="00116C25" w:rsidP="002B455E">
            <w:r>
              <w:t>Error</w:t>
            </w:r>
          </w:p>
          <w:p w:rsidR="00116C25" w:rsidRPr="00C9225E" w:rsidRDefault="00116C25" w:rsidP="002B455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33" w:type="dxa"/>
            <w:noWrap/>
            <w:hideMark/>
          </w:tcPr>
          <w:p w:rsidR="00116C25" w:rsidRDefault="00116C25" w:rsidP="002B455E">
            <w:r w:rsidRPr="00C9225E">
              <w:t>Bias</w:t>
            </w:r>
          </w:p>
          <w:p w:rsidR="00116C25" w:rsidRPr="00C9225E" w:rsidRDefault="00116C25" w:rsidP="002B455E"/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m:oMathPara>
              <m:oMath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 w:val="restart"/>
            <w:noWrap/>
            <w:hideMark/>
          </w:tcPr>
          <w:p w:rsidR="00116C25" w:rsidRPr="00C9225E" w:rsidRDefault="00116C25" w:rsidP="002B455E">
            <w:r>
              <w:t>100</w:t>
            </w:r>
          </w:p>
        </w:tc>
        <w:tc>
          <w:tcPr>
            <w:tcW w:w="1355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constant</w:t>
            </w:r>
          </w:p>
        </w:tc>
        <w:tc>
          <w:tcPr>
            <w:tcW w:w="1541" w:type="dxa"/>
            <w:vMerge w:val="restart"/>
            <w:noWrap/>
            <w:hideMark/>
          </w:tcPr>
          <w:p w:rsidR="00116C25" w:rsidRPr="00C9225E" w:rsidRDefault="00116C25" w:rsidP="002B455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938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known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>
              <w:t>1.07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3.4x10⁴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0.88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56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10%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80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1.7x10⁴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0.57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53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 xml:space="preserve">1% 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57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9.2x10³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0.28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62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inferred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>
              <w:t>1.08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3.4x10⁴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0.87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50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10%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81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1.7x10⁴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0.55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>
              <w:t>0.43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 xml:space="preserve">1% 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>
              <w:t>0.59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9.3x10³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0.21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47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recent growth</w:t>
            </w:r>
          </w:p>
        </w:tc>
        <w:tc>
          <w:tcPr>
            <w:tcW w:w="1541" w:type="dxa"/>
            <w:vMerge w:val="restart"/>
            <w:noWrap/>
            <w:hideMark/>
          </w:tcPr>
          <w:p w:rsidR="00116C25" w:rsidRPr="00C9225E" w:rsidRDefault="00116C25" w:rsidP="002B455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938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known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>
              <w:t>1.05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3.4x10⁴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0.85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57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10%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>
              <w:t>0.76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2.1x10⁴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0.54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52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 xml:space="preserve">1% 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50</w:t>
            </w:r>
          </w:p>
        </w:tc>
        <w:tc>
          <w:tcPr>
            <w:tcW w:w="1067" w:type="dxa"/>
          </w:tcPr>
          <w:p w:rsidR="00116C25" w:rsidRPr="00C9225E" w:rsidRDefault="00116C25" w:rsidP="002B455E">
            <w:r w:rsidRPr="004D5C6E">
              <w:t>7.4x10³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 w:rsidRPr="00C9225E">
              <w:t>0.24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56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inferred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>
              <w:t>1.06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3.4x10⁴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0.83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</w:t>
            </w:r>
            <w:r>
              <w:t>.49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10%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78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2.1x10⁴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0.51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39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 xml:space="preserve">1% 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0.5</w:t>
            </w:r>
            <w:r>
              <w:t>2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7.5x10³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0.15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40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1000</w:t>
            </w:r>
          </w:p>
        </w:tc>
        <w:tc>
          <w:tcPr>
            <w:tcW w:w="1355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constant</w:t>
            </w:r>
          </w:p>
        </w:tc>
        <w:tc>
          <w:tcPr>
            <w:tcW w:w="1541" w:type="dxa"/>
            <w:vMerge w:val="restart"/>
            <w:noWrap/>
            <w:hideMark/>
          </w:tcPr>
          <w:p w:rsidR="00116C25" w:rsidRPr="00C9225E" w:rsidRDefault="00116C25" w:rsidP="002B455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938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known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>
              <w:t>1.07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2.8x10⁴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0.76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70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10%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7</w:t>
            </w:r>
            <w:r w:rsidRPr="00C9225E">
              <w:t>6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1.2x10⁴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0.42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</w:t>
            </w:r>
            <w:r>
              <w:t>.70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</w:t>
            </w:r>
            <w:r>
              <w:t>.4</w:t>
            </w:r>
            <w:r w:rsidRPr="00C9225E">
              <w:t>7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5.5x10³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0.09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77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0.1%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38</w:t>
            </w:r>
          </w:p>
        </w:tc>
        <w:tc>
          <w:tcPr>
            <w:tcW w:w="1067" w:type="dxa"/>
          </w:tcPr>
          <w:p w:rsidR="00116C25" w:rsidRPr="00C9225E" w:rsidRDefault="00116C25" w:rsidP="002B455E">
            <w:r w:rsidRPr="004D5C6E">
              <w:t>2.7x10³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 w:rsidRPr="00C9225E">
              <w:t>-0.</w:t>
            </w:r>
            <w:r>
              <w:t>08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81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inferred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>
              <w:t>1.08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2.8x10⁴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0.75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67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10%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78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1.2x10⁴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0.41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65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52</w:t>
            </w:r>
          </w:p>
        </w:tc>
        <w:tc>
          <w:tcPr>
            <w:tcW w:w="1067" w:type="dxa"/>
          </w:tcPr>
          <w:p w:rsidR="00116C25" w:rsidRPr="00C9225E" w:rsidRDefault="00116C25" w:rsidP="002B455E">
            <w:r w:rsidRPr="004D5C6E">
              <w:t>5.5x10³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07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0.69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tcBorders>
              <w:bottom w:val="nil"/>
            </w:tcBorders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0.1%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48</w:t>
            </w:r>
          </w:p>
        </w:tc>
        <w:tc>
          <w:tcPr>
            <w:tcW w:w="1067" w:type="dxa"/>
          </w:tcPr>
          <w:p w:rsidR="00116C25" w:rsidRPr="00C9225E" w:rsidRDefault="00116C25" w:rsidP="002B455E">
            <w:r w:rsidRPr="004D5C6E">
              <w:t>2.7x10³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 w:rsidRPr="00C9225E">
              <w:t>-0.</w:t>
            </w:r>
            <w:r>
              <w:t>18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71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 w:val="restart"/>
            <w:tcBorders>
              <w:top w:val="nil"/>
            </w:tcBorders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recent growth</w:t>
            </w:r>
          </w:p>
        </w:tc>
        <w:tc>
          <w:tcPr>
            <w:tcW w:w="1541" w:type="dxa"/>
            <w:vMerge w:val="restart"/>
            <w:noWrap/>
            <w:hideMark/>
          </w:tcPr>
          <w:p w:rsidR="00116C25" w:rsidRPr="00C9225E" w:rsidRDefault="00116C25" w:rsidP="002B455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938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known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92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2.5x10⁴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0.55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67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10%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62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1.1x10⁴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0.27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60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0.3</w:t>
            </w:r>
            <w:r>
              <w:t>6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4.6x10³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0.04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59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0.1%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29</w:t>
            </w:r>
          </w:p>
        </w:tc>
        <w:tc>
          <w:tcPr>
            <w:tcW w:w="1067" w:type="dxa"/>
          </w:tcPr>
          <w:p w:rsidR="00116C25" w:rsidRPr="00C9225E" w:rsidRDefault="00116C25" w:rsidP="002B455E">
            <w:r w:rsidRPr="004D5C6E">
              <w:t>1.6x10³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 w:rsidRPr="00C9225E">
              <w:t>-0.</w:t>
            </w:r>
            <w:r>
              <w:t>07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51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 w:val="restart"/>
            <w:noWrap/>
            <w:hideMark/>
          </w:tcPr>
          <w:p w:rsidR="00116C25" w:rsidRPr="00C9225E" w:rsidRDefault="00116C25" w:rsidP="002B455E">
            <w:r w:rsidRPr="00C9225E">
              <w:t>inferred</w:t>
            </w:r>
          </w:p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all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94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2.5x10⁴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0.50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57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10%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65</w:t>
            </w:r>
          </w:p>
        </w:tc>
        <w:tc>
          <w:tcPr>
            <w:tcW w:w="1067" w:type="dxa"/>
          </w:tcPr>
          <w:p w:rsidR="00116C25" w:rsidRDefault="00116C25" w:rsidP="002B455E">
            <w:r w:rsidRPr="004D5C6E">
              <w:t>1.1x10⁴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>
              <w:t>0.21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46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m:oMath>
              <m:r>
                <w:rPr>
                  <w:rFonts w:ascii="Cambria Math" w:hAnsi="Cambria Math"/>
                </w:rPr>
                <m:t>≤</m:t>
              </m:r>
            </m:oMath>
            <w:r w:rsidRPr="00C9225E">
              <w:t>1%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0.4</w:t>
            </w:r>
            <w:r>
              <w:t>2</w:t>
            </w:r>
          </w:p>
        </w:tc>
        <w:tc>
          <w:tcPr>
            <w:tcW w:w="1067" w:type="dxa"/>
          </w:tcPr>
          <w:p w:rsidR="00116C25" w:rsidRPr="00C9225E" w:rsidRDefault="00116C25" w:rsidP="002B455E">
            <w:r w:rsidRPr="004D5C6E">
              <w:t>4.6x10³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 w:rsidRPr="00C9225E">
              <w:t>-0.</w:t>
            </w:r>
            <w:r>
              <w:t>04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40</w:t>
            </w:r>
          </w:p>
        </w:tc>
      </w:tr>
      <w:tr w:rsidR="00116C25" w:rsidRPr="00C9225E" w:rsidTr="002B455E">
        <w:trPr>
          <w:trHeight w:val="300"/>
        </w:trPr>
        <w:tc>
          <w:tcPr>
            <w:tcW w:w="88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355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541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938" w:type="dxa"/>
            <w:vMerge/>
            <w:noWrap/>
            <w:hideMark/>
          </w:tcPr>
          <w:p w:rsidR="00116C25" w:rsidRPr="00C9225E" w:rsidRDefault="00116C25" w:rsidP="002B455E"/>
        </w:tc>
        <w:tc>
          <w:tcPr>
            <w:tcW w:w="1693" w:type="dxa"/>
            <w:noWrap/>
            <w:hideMark/>
          </w:tcPr>
          <w:p w:rsidR="00116C25" w:rsidRPr="00C9225E" w:rsidRDefault="00116C25" w:rsidP="002B455E">
            <w:r w:rsidRPr="00C9225E">
              <w:t>0.1%</w:t>
            </w:r>
          </w:p>
        </w:tc>
        <w:tc>
          <w:tcPr>
            <w:tcW w:w="697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37</w:t>
            </w:r>
          </w:p>
        </w:tc>
        <w:tc>
          <w:tcPr>
            <w:tcW w:w="1067" w:type="dxa"/>
          </w:tcPr>
          <w:p w:rsidR="00116C25" w:rsidRPr="00C9225E" w:rsidRDefault="00116C25" w:rsidP="002B455E">
            <w:r w:rsidRPr="004D5C6E">
              <w:t>1.7x10³</w:t>
            </w:r>
          </w:p>
        </w:tc>
        <w:tc>
          <w:tcPr>
            <w:tcW w:w="733" w:type="dxa"/>
            <w:noWrap/>
            <w:hideMark/>
          </w:tcPr>
          <w:p w:rsidR="00116C25" w:rsidRPr="00C9225E" w:rsidRDefault="00116C25" w:rsidP="002B455E">
            <w:r w:rsidRPr="00C9225E">
              <w:t>-0.</w:t>
            </w:r>
            <w:r>
              <w:t>21</w:t>
            </w:r>
          </w:p>
        </w:tc>
        <w:tc>
          <w:tcPr>
            <w:tcW w:w="720" w:type="dxa"/>
            <w:noWrap/>
            <w:hideMark/>
          </w:tcPr>
          <w:p w:rsidR="00116C25" w:rsidRPr="00C9225E" w:rsidRDefault="00116C25" w:rsidP="002B455E">
            <w:r w:rsidRPr="00C9225E">
              <w:t>0.</w:t>
            </w:r>
            <w:r>
              <w:t>32</w:t>
            </w:r>
          </w:p>
        </w:tc>
      </w:tr>
    </w:tbl>
    <w:p w:rsidR="00CF51E3" w:rsidRDefault="00CF51E3">
      <w:bookmarkStart w:id="0" w:name="_GoBack"/>
      <w:bookmarkEnd w:id="0"/>
    </w:p>
    <w:sectPr w:rsidR="00CF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25"/>
    <w:rsid w:val="00116C25"/>
    <w:rsid w:val="00530C8C"/>
    <w:rsid w:val="00C71F44"/>
    <w:rsid w:val="00C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C3A52-5814-41B1-9DE3-77A6EF0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25"/>
    <w:pPr>
      <w:spacing w:before="120"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C2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jodyhey</dc:creator>
  <cp:keywords/>
  <dc:description/>
  <cp:lastModifiedBy>jodyhey</cp:lastModifiedBy>
  <cp:revision>1</cp:revision>
  <dcterms:created xsi:type="dcterms:W3CDTF">2019-07-09T00:43:00Z</dcterms:created>
  <dcterms:modified xsi:type="dcterms:W3CDTF">2019-07-09T00:44:00Z</dcterms:modified>
</cp:coreProperties>
</file>