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57DB0" w14:textId="77777777" w:rsidR="004642DE" w:rsidRPr="0022470A" w:rsidRDefault="004642DE" w:rsidP="00464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S6 Table</w:t>
      </w:r>
      <w:r w:rsidRPr="0022470A">
        <w:rPr>
          <w:b/>
          <w:sz w:val="24"/>
          <w:szCs w:val="24"/>
        </w:rPr>
        <w:t xml:space="preserve">. </w:t>
      </w:r>
      <w:r w:rsidRPr="0022470A">
        <w:rPr>
          <w:color w:val="000000"/>
          <w:sz w:val="24"/>
          <w:szCs w:val="24"/>
        </w:rPr>
        <w:t xml:space="preserve">List of primers or </w:t>
      </w:r>
      <w:proofErr w:type="spellStart"/>
      <w:r w:rsidRPr="0022470A">
        <w:rPr>
          <w:color w:val="000000"/>
          <w:sz w:val="24"/>
          <w:szCs w:val="24"/>
        </w:rPr>
        <w:t>oligos</w:t>
      </w:r>
      <w:proofErr w:type="spellEnd"/>
      <w:r w:rsidRPr="0022470A">
        <w:rPr>
          <w:color w:val="000000"/>
          <w:sz w:val="24"/>
          <w:szCs w:val="24"/>
        </w:rPr>
        <w:t xml:space="preserve"> used in this study</w:t>
      </w:r>
    </w:p>
    <w:tbl>
      <w:tblPr>
        <w:tblW w:w="10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5238"/>
        <w:gridCol w:w="3600"/>
      </w:tblGrid>
      <w:tr w:rsidR="004642DE" w14:paraId="554AD28C" w14:textId="77777777" w:rsidTr="00A95ECF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36F72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7768E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Sequence (5'-3')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BFAA1" w14:textId="77777777" w:rsidR="004642DE" w:rsidRDefault="004642DE" w:rsidP="00F76B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Purpose; note</w:t>
            </w:r>
          </w:p>
        </w:tc>
      </w:tr>
      <w:tr w:rsidR="004642DE" w14:paraId="1540BEE8" w14:textId="77777777" w:rsidTr="00A95ECF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C1974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L95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953C0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CGGCCAGTGAATTGTAATACG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3EDA12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LIEP; 1</w:t>
            </w:r>
            <w:r w:rsidRPr="00572C1C">
              <w:rPr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color w:val="000000"/>
                <w:sz w:val="22"/>
                <w:szCs w:val="22"/>
              </w:rPr>
              <w:t xml:space="preserve"> PCR primer for linker sequencing</w:t>
            </w:r>
          </w:p>
        </w:tc>
        <w:bookmarkStart w:id="0" w:name="_GoBack"/>
        <w:bookmarkEnd w:id="0"/>
      </w:tr>
      <w:tr w:rsidR="004642DE" w14:paraId="49CEA679" w14:textId="77777777" w:rsidTr="00A95ECF">
        <w:trPr>
          <w:trHeight w:val="5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88001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RPtag</w:t>
            </w:r>
            <w:proofErr w:type="spellEnd"/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38945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GACTGGAGTTCAGACGTGTGCTCTTCCGATCTgagtc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5ECEA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LIEP; 1</w:t>
            </w:r>
            <w:r w:rsidRPr="00B57541">
              <w:rPr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color w:val="000000"/>
                <w:sz w:val="22"/>
                <w:szCs w:val="22"/>
              </w:rPr>
              <w:t xml:space="preserve"> PCR primer for linker sequencing</w:t>
            </w:r>
          </w:p>
        </w:tc>
      </w:tr>
      <w:tr w:rsidR="004642DE" w14:paraId="05A7A018" w14:textId="77777777" w:rsidTr="00A95ECF">
        <w:trPr>
          <w:trHeight w:val="57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54527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htF501s2</w:t>
            </w:r>
            <w:proofErr w:type="gramEnd"/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AB0CC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AATGATACGGCGACCACCGAGATCTACACTATAGCCTACACTCTTTCCCTACACGACGCTCTTCC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D74D3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LIEP; 2</w:t>
            </w:r>
            <w:r w:rsidRPr="00572C1C">
              <w:rPr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color w:val="000000"/>
                <w:sz w:val="22"/>
                <w:szCs w:val="22"/>
              </w:rPr>
              <w:t xml:space="preserve"> PCR primer for linker sequencing</w:t>
            </w:r>
          </w:p>
        </w:tc>
      </w:tr>
      <w:tr w:rsidR="004642DE" w14:paraId="0B0A2548" w14:textId="77777777" w:rsidTr="00A95ECF">
        <w:trPr>
          <w:trHeight w:val="534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5593E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htF701s</w:t>
            </w:r>
            <w:proofErr w:type="gramEnd"/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D4C8E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CAAGCAGAAGACGGCATACGAGATCGAGTAATGTGACTGGAGTTCAGACGTGTG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EC3CB" w14:textId="77777777" w:rsidR="004642DE" w:rsidRDefault="004642DE" w:rsidP="00F76BC7">
            <w:pPr>
              <w:ind w:left="-2829" w:right="-458" w:firstLine="28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LIEP; 2</w:t>
            </w:r>
            <w:r w:rsidRPr="00572C1C">
              <w:rPr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color w:val="000000"/>
                <w:sz w:val="22"/>
                <w:szCs w:val="22"/>
              </w:rPr>
              <w:t xml:space="preserve"> PCR primer for linker sequencing</w:t>
            </w:r>
            <w:r w:rsidDel="004D60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642DE" w14:paraId="23B795F7" w14:textId="77777777" w:rsidTr="00A95ECF">
        <w:trPr>
          <w:trHeight w:val="34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4E92A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hta1</w:t>
            </w:r>
            <w:proofErr w:type="gramEnd"/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1B7F7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GACTGGAGTTCAGACGTGTGCTCTTCCGATCT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EB520E" w14:textId="77777777" w:rsidR="004642DE" w:rsidRDefault="004642DE" w:rsidP="00F76BC7">
            <w:pPr>
              <w:ind w:left="-2829" w:right="-458" w:firstLine="282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LIEP; </w:t>
            </w:r>
            <w:proofErr w:type="spellStart"/>
            <w:r>
              <w:rPr>
                <w:color w:val="000000"/>
                <w:sz w:val="22"/>
                <w:szCs w:val="22"/>
              </w:rPr>
              <w:t>oligo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for making a Y-adaptor</w:t>
            </w:r>
          </w:p>
        </w:tc>
      </w:tr>
      <w:tr w:rsidR="004642DE" w14:paraId="0BC36F50" w14:textId="77777777" w:rsidTr="00A95ECF">
        <w:trPr>
          <w:trHeight w:val="34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0E505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hta2</w:t>
            </w:r>
            <w:proofErr w:type="gramEnd"/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EC4D0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GATCGGAAGAGCACACaaa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12ACB" w14:textId="77777777" w:rsidR="004642DE" w:rsidRDefault="004642DE" w:rsidP="00F76BC7">
            <w:pPr>
              <w:ind w:left="-2829" w:right="-458" w:firstLine="282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LIEP; </w:t>
            </w:r>
            <w:proofErr w:type="spellStart"/>
            <w:r>
              <w:rPr>
                <w:color w:val="000000"/>
                <w:sz w:val="22"/>
                <w:szCs w:val="22"/>
              </w:rPr>
              <w:t>oligo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for making a Y-adaptor</w:t>
            </w:r>
          </w:p>
        </w:tc>
      </w:tr>
      <w:tr w:rsidR="004642DE" w14:paraId="50B2C69A" w14:textId="77777777" w:rsidTr="00A95ECF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20110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501Tr1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FBB12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CTACACGACGCTCTTCCG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88FD5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LIEP; 1</w:t>
            </w:r>
            <w:r w:rsidRPr="00572C1C">
              <w:rPr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color w:val="000000"/>
                <w:sz w:val="22"/>
                <w:szCs w:val="22"/>
              </w:rPr>
              <w:t xml:space="preserve"> PCR primer for clone sequencing library</w:t>
            </w:r>
          </w:p>
        </w:tc>
      </w:tr>
      <w:tr w:rsidR="004642DE" w14:paraId="494ED335" w14:textId="77777777" w:rsidTr="00A95ECF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9F542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701Tr1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2D3B8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GACTGGAGTTCAGACGTGTG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125AA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LIEP; 1</w:t>
            </w:r>
            <w:r w:rsidRPr="00B57541">
              <w:rPr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color w:val="000000"/>
                <w:sz w:val="22"/>
                <w:szCs w:val="22"/>
              </w:rPr>
              <w:t xml:space="preserve"> PCR primer for clone sequencing library</w:t>
            </w:r>
          </w:p>
        </w:tc>
      </w:tr>
      <w:tr w:rsidR="004642DE" w14:paraId="6EE06B8F" w14:textId="77777777" w:rsidTr="00A95ECF">
        <w:trPr>
          <w:trHeight w:val="5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97A08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htF501s</w:t>
            </w:r>
            <w:proofErr w:type="gramEnd"/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B86AF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AATGATACGGCGACCACCGAGATCTACACTATAGCCTACACTCTTTCCCTACACGACGCTCTTCCGAT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AB222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LIEP; </w:t>
            </w:r>
            <w:proofErr w:type="spellStart"/>
            <w:r w:rsidRPr="004D60B8">
              <w:rPr>
                <w:color w:val="000000"/>
                <w:sz w:val="22"/>
                <w:szCs w:val="22"/>
              </w:rPr>
              <w:t>Illumina</w:t>
            </w:r>
            <w:proofErr w:type="spellEnd"/>
            <w:r w:rsidRPr="004D60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0B8">
              <w:rPr>
                <w:color w:val="000000"/>
                <w:sz w:val="22"/>
                <w:szCs w:val="22"/>
              </w:rPr>
              <w:t>Tru</w:t>
            </w:r>
            <w:r>
              <w:rPr>
                <w:color w:val="000000"/>
                <w:sz w:val="22"/>
                <w:szCs w:val="22"/>
              </w:rPr>
              <w:t>S</w:t>
            </w:r>
            <w:r w:rsidRPr="004D60B8">
              <w:rPr>
                <w:color w:val="000000"/>
                <w:sz w:val="22"/>
                <w:szCs w:val="22"/>
              </w:rPr>
              <w:t>eq</w:t>
            </w:r>
            <w:proofErr w:type="spellEnd"/>
            <w:r w:rsidRPr="004D60B8">
              <w:rPr>
                <w:color w:val="000000"/>
                <w:sz w:val="22"/>
                <w:szCs w:val="22"/>
              </w:rPr>
              <w:t xml:space="preserve"> HT primer</w:t>
            </w:r>
            <w:r>
              <w:rPr>
                <w:color w:val="000000"/>
                <w:sz w:val="22"/>
                <w:szCs w:val="22"/>
              </w:rPr>
              <w:t xml:space="preserve"> used in 2</w:t>
            </w:r>
            <w:r w:rsidRPr="00572C1C">
              <w:rPr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color w:val="000000"/>
                <w:sz w:val="22"/>
                <w:szCs w:val="22"/>
              </w:rPr>
              <w:t xml:space="preserve"> PCR for clone sequencing library</w:t>
            </w:r>
          </w:p>
        </w:tc>
      </w:tr>
      <w:tr w:rsidR="004642DE" w14:paraId="5BAFF51D" w14:textId="77777777" w:rsidTr="00A95ECF">
        <w:trPr>
          <w:trHeight w:val="6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B4968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htF502s</w:t>
            </w:r>
            <w:proofErr w:type="gramEnd"/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BE962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AATGATACGGCGACCACCGAGATCTACACATAGAGGCACACTCTTTCCCTACACGACGCTCTTCCGAT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51CD6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LIEP; </w:t>
            </w:r>
            <w:proofErr w:type="spellStart"/>
            <w:r>
              <w:rPr>
                <w:color w:val="000000"/>
                <w:sz w:val="22"/>
                <w:szCs w:val="22"/>
              </w:rPr>
              <w:t>Illumina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TruS</w:t>
            </w:r>
            <w:r w:rsidRPr="004D60B8">
              <w:rPr>
                <w:color w:val="000000"/>
                <w:sz w:val="22"/>
                <w:szCs w:val="22"/>
              </w:rPr>
              <w:t>eq</w:t>
            </w:r>
            <w:proofErr w:type="spellEnd"/>
            <w:r w:rsidRPr="004D60B8">
              <w:rPr>
                <w:color w:val="000000"/>
                <w:sz w:val="22"/>
                <w:szCs w:val="22"/>
              </w:rPr>
              <w:t xml:space="preserve"> HT primer</w:t>
            </w:r>
            <w:r>
              <w:rPr>
                <w:color w:val="000000"/>
                <w:sz w:val="22"/>
                <w:szCs w:val="22"/>
              </w:rPr>
              <w:t xml:space="preserve"> used in 2</w:t>
            </w:r>
            <w:r w:rsidRPr="00B57541">
              <w:rPr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color w:val="000000"/>
                <w:sz w:val="22"/>
                <w:szCs w:val="22"/>
              </w:rPr>
              <w:t xml:space="preserve"> PCR for clone sequencing library</w:t>
            </w:r>
          </w:p>
        </w:tc>
      </w:tr>
      <w:tr w:rsidR="004642DE" w14:paraId="20B1849B" w14:textId="77777777" w:rsidTr="00A95ECF">
        <w:trPr>
          <w:trHeight w:val="5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B3C4B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htF702s</w:t>
            </w:r>
            <w:proofErr w:type="gramEnd"/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4CC29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CAAGCAGAAGACGGCATACGAGATTCTCCGGAGTGACTGGAGTTCAGACGTGTG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8FC3D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LIEP; </w:t>
            </w:r>
            <w:proofErr w:type="spellStart"/>
            <w:r>
              <w:rPr>
                <w:color w:val="000000"/>
                <w:sz w:val="22"/>
                <w:szCs w:val="22"/>
              </w:rPr>
              <w:t>Illumina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TruS</w:t>
            </w:r>
            <w:r w:rsidRPr="004D60B8">
              <w:rPr>
                <w:color w:val="000000"/>
                <w:sz w:val="22"/>
                <w:szCs w:val="22"/>
              </w:rPr>
              <w:t>eq</w:t>
            </w:r>
            <w:proofErr w:type="spellEnd"/>
            <w:r w:rsidRPr="004D60B8">
              <w:rPr>
                <w:color w:val="000000"/>
                <w:sz w:val="22"/>
                <w:szCs w:val="22"/>
              </w:rPr>
              <w:t xml:space="preserve"> HT primer </w:t>
            </w:r>
            <w:r>
              <w:rPr>
                <w:color w:val="000000"/>
                <w:sz w:val="22"/>
                <w:szCs w:val="22"/>
              </w:rPr>
              <w:t>used in 2</w:t>
            </w:r>
            <w:r w:rsidRPr="00B57541">
              <w:rPr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color w:val="000000"/>
                <w:sz w:val="22"/>
                <w:szCs w:val="22"/>
              </w:rPr>
              <w:t xml:space="preserve"> PCR for clone sequencing library</w:t>
            </w:r>
          </w:p>
        </w:tc>
      </w:tr>
      <w:tr w:rsidR="004642DE" w14:paraId="228F6622" w14:textId="77777777" w:rsidTr="00A95ECF">
        <w:trPr>
          <w:trHeight w:val="5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38FCFB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htF703s</w:t>
            </w:r>
            <w:proofErr w:type="gramEnd"/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E1EC0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CAAGCAGAAGACGGCATACGAGATAATGAGCGGTGACTGGAGTTCAGACGTGTG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E5EFF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LIEP; </w:t>
            </w:r>
            <w:proofErr w:type="spellStart"/>
            <w:r>
              <w:rPr>
                <w:color w:val="000000"/>
                <w:sz w:val="22"/>
                <w:szCs w:val="22"/>
              </w:rPr>
              <w:t>Illumina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TruS</w:t>
            </w:r>
            <w:r w:rsidRPr="004D60B8">
              <w:rPr>
                <w:color w:val="000000"/>
                <w:sz w:val="22"/>
                <w:szCs w:val="22"/>
              </w:rPr>
              <w:t>eq</w:t>
            </w:r>
            <w:proofErr w:type="spellEnd"/>
            <w:r w:rsidRPr="004D60B8">
              <w:rPr>
                <w:color w:val="000000"/>
                <w:sz w:val="22"/>
                <w:szCs w:val="22"/>
              </w:rPr>
              <w:t xml:space="preserve"> HT primer </w:t>
            </w:r>
            <w:r>
              <w:rPr>
                <w:color w:val="000000"/>
                <w:sz w:val="22"/>
                <w:szCs w:val="22"/>
              </w:rPr>
              <w:t>used in 2</w:t>
            </w:r>
            <w:r w:rsidRPr="00B57541">
              <w:rPr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color w:val="000000"/>
                <w:sz w:val="22"/>
                <w:szCs w:val="22"/>
              </w:rPr>
              <w:t xml:space="preserve"> PCR for clone sequencing library</w:t>
            </w:r>
          </w:p>
        </w:tc>
      </w:tr>
      <w:tr w:rsidR="004642DE" w14:paraId="6D53FCEC" w14:textId="77777777" w:rsidTr="00A95ECF">
        <w:trPr>
          <w:trHeight w:val="5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DE5D0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htF704s</w:t>
            </w:r>
            <w:proofErr w:type="gramEnd"/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656FF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CAAGCAGAAGACGGCATACGAGATGGAATCTCGTGACTGGAGTTCAGACGTGTG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446FC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LIEP; </w:t>
            </w:r>
            <w:proofErr w:type="spellStart"/>
            <w:r>
              <w:rPr>
                <w:color w:val="000000"/>
                <w:sz w:val="22"/>
                <w:szCs w:val="22"/>
              </w:rPr>
              <w:t>Illumina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TruS</w:t>
            </w:r>
            <w:r w:rsidRPr="004D60B8">
              <w:rPr>
                <w:color w:val="000000"/>
                <w:sz w:val="22"/>
                <w:szCs w:val="22"/>
              </w:rPr>
              <w:t>eq</w:t>
            </w:r>
            <w:proofErr w:type="spellEnd"/>
            <w:r w:rsidRPr="004D60B8">
              <w:rPr>
                <w:color w:val="000000"/>
                <w:sz w:val="22"/>
                <w:szCs w:val="22"/>
              </w:rPr>
              <w:t xml:space="preserve"> HT primer </w:t>
            </w:r>
            <w:r>
              <w:rPr>
                <w:color w:val="000000"/>
                <w:sz w:val="22"/>
                <w:szCs w:val="22"/>
              </w:rPr>
              <w:t>used in 2</w:t>
            </w:r>
            <w:r w:rsidRPr="00B57541">
              <w:rPr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color w:val="000000"/>
                <w:sz w:val="22"/>
                <w:szCs w:val="22"/>
              </w:rPr>
              <w:t xml:space="preserve"> PCR for clone sequencing library</w:t>
            </w:r>
          </w:p>
        </w:tc>
      </w:tr>
      <w:tr w:rsidR="004642DE" w14:paraId="076A7B33" w14:textId="77777777" w:rsidTr="00A95ECF">
        <w:trPr>
          <w:trHeight w:val="30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ADF99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BAS1-F</w:t>
            </w:r>
          </w:p>
        </w:tc>
        <w:tc>
          <w:tcPr>
            <w:tcW w:w="5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0BFC9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GGTGCTTGCCACCTTTACC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A3546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genomic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amplification; </w:t>
            </w:r>
            <w:r>
              <w:rPr>
                <w:i/>
                <w:iCs/>
                <w:color w:val="000000"/>
                <w:sz w:val="22"/>
                <w:szCs w:val="22"/>
              </w:rPr>
              <w:t>BAS1</w:t>
            </w:r>
            <w:r>
              <w:rPr>
                <w:color w:val="000000"/>
                <w:sz w:val="22"/>
                <w:szCs w:val="22"/>
              </w:rPr>
              <w:t xml:space="preserve"> primer</w:t>
            </w:r>
          </w:p>
        </w:tc>
      </w:tr>
      <w:tr w:rsidR="004642DE" w14:paraId="28F7F6DC" w14:textId="77777777" w:rsidTr="00A95ECF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512EB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BAS1-R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38E79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TTCTCCACCCGTCTAATACCA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D8E45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genomic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amplification; </w:t>
            </w:r>
            <w:r>
              <w:rPr>
                <w:i/>
                <w:iCs/>
                <w:color w:val="000000"/>
                <w:sz w:val="22"/>
                <w:szCs w:val="22"/>
              </w:rPr>
              <w:t>BAS1</w:t>
            </w:r>
            <w:r>
              <w:rPr>
                <w:color w:val="000000"/>
                <w:sz w:val="22"/>
                <w:szCs w:val="22"/>
              </w:rPr>
              <w:t xml:space="preserve"> primer</w:t>
            </w:r>
          </w:p>
        </w:tc>
      </w:tr>
      <w:tr w:rsidR="004642DE" w14:paraId="6A0BC676" w14:textId="77777777" w:rsidTr="00A95ECF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63142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PWL2-F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C9AEE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TCCTCCCTTTTGCTTTGTTC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049CB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genomic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amplification; </w:t>
            </w:r>
            <w:r>
              <w:rPr>
                <w:i/>
                <w:iCs/>
                <w:color w:val="000000"/>
                <w:sz w:val="22"/>
                <w:szCs w:val="22"/>
              </w:rPr>
              <w:t>PWL2</w:t>
            </w:r>
            <w:r>
              <w:rPr>
                <w:color w:val="000000"/>
                <w:sz w:val="22"/>
                <w:szCs w:val="22"/>
              </w:rPr>
              <w:t xml:space="preserve"> primer</w:t>
            </w:r>
          </w:p>
        </w:tc>
      </w:tr>
      <w:tr w:rsidR="004642DE" w14:paraId="33A8C7DD" w14:textId="77777777" w:rsidTr="00A95ECF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99546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PWL2-R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09AA9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ATAATATCCGTCGCCCCATT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A2560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genomic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amplification; </w:t>
            </w:r>
            <w:r>
              <w:rPr>
                <w:i/>
                <w:iCs/>
                <w:color w:val="000000"/>
                <w:sz w:val="22"/>
                <w:szCs w:val="22"/>
              </w:rPr>
              <w:t>PWL2</w:t>
            </w:r>
            <w:r>
              <w:rPr>
                <w:color w:val="000000"/>
                <w:sz w:val="22"/>
                <w:szCs w:val="22"/>
              </w:rPr>
              <w:t xml:space="preserve"> primer</w:t>
            </w:r>
          </w:p>
        </w:tc>
      </w:tr>
      <w:tr w:rsidR="004642DE" w14:paraId="6E9A1DB2" w14:textId="77777777" w:rsidTr="00A95ECF">
        <w:trPr>
          <w:trHeight w:val="52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84A04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MgActinF</w:t>
            </w:r>
            <w:proofErr w:type="spellEnd"/>
          </w:p>
        </w:tc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C6865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AGCGTGGTATCCTCACTTTGC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DEF17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qRT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-PCR;  genomic amplification; </w:t>
            </w:r>
            <w:r>
              <w:rPr>
                <w:i/>
                <w:iCs/>
                <w:color w:val="000000"/>
                <w:sz w:val="22"/>
                <w:szCs w:val="22"/>
              </w:rPr>
              <w:t>actin</w:t>
            </w:r>
            <w:r>
              <w:rPr>
                <w:color w:val="000000"/>
                <w:sz w:val="22"/>
                <w:szCs w:val="22"/>
              </w:rPr>
              <w:t xml:space="preserve"> primer</w:t>
            </w:r>
          </w:p>
        </w:tc>
      </w:tr>
      <w:tr w:rsidR="004642DE" w14:paraId="75F0E4EB" w14:textId="77777777" w:rsidTr="00A95ECF">
        <w:trPr>
          <w:trHeight w:val="5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2156D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MgActinR</w:t>
            </w:r>
            <w:proofErr w:type="spellEnd"/>
          </w:p>
        </w:tc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CAF79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ATCTTCTCTCGGTTGGACTTGG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46344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qRT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-PCR;  genomic amplification; </w:t>
            </w:r>
            <w:r>
              <w:rPr>
                <w:i/>
                <w:iCs/>
                <w:color w:val="000000"/>
                <w:sz w:val="22"/>
                <w:szCs w:val="22"/>
              </w:rPr>
              <w:t>actin</w:t>
            </w:r>
            <w:r>
              <w:rPr>
                <w:color w:val="000000"/>
                <w:sz w:val="22"/>
                <w:szCs w:val="22"/>
              </w:rPr>
              <w:t xml:space="preserve"> primer</w:t>
            </w:r>
          </w:p>
        </w:tc>
      </w:tr>
      <w:tr w:rsidR="004642DE" w14:paraId="7C941F38" w14:textId="77777777" w:rsidTr="00A95ECF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AF492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MgPwl2F</w:t>
            </w:r>
          </w:p>
        </w:tc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55FC7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CCGCCGAATACGGAAATCAC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82DDC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qRT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-PCR; </w:t>
            </w:r>
            <w:r>
              <w:rPr>
                <w:i/>
                <w:iCs/>
                <w:color w:val="000000"/>
                <w:sz w:val="22"/>
                <w:szCs w:val="22"/>
              </w:rPr>
              <w:t>PWL2</w:t>
            </w:r>
            <w:r>
              <w:rPr>
                <w:color w:val="000000"/>
                <w:sz w:val="22"/>
                <w:szCs w:val="22"/>
              </w:rPr>
              <w:t xml:space="preserve"> primer</w:t>
            </w:r>
          </w:p>
        </w:tc>
      </w:tr>
      <w:tr w:rsidR="004642DE" w14:paraId="779E1E12" w14:textId="77777777" w:rsidTr="00A95ECF">
        <w:trPr>
          <w:trHeight w:val="5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EA06D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Pwl2_qRT2-R4</w:t>
            </w:r>
          </w:p>
        </w:tc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D63D1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CAGCCCTCTTCTCGCTGTTC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B2A2E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qRT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-PCR; genomic amplification; </w:t>
            </w:r>
            <w:r>
              <w:rPr>
                <w:i/>
                <w:iCs/>
                <w:color w:val="000000"/>
                <w:sz w:val="22"/>
                <w:szCs w:val="22"/>
              </w:rPr>
              <w:t>PWL2</w:t>
            </w:r>
            <w:r>
              <w:rPr>
                <w:color w:val="000000"/>
                <w:sz w:val="22"/>
                <w:szCs w:val="22"/>
              </w:rPr>
              <w:t xml:space="preserve"> primer</w:t>
            </w:r>
          </w:p>
        </w:tc>
      </w:tr>
      <w:tr w:rsidR="004642DE" w14:paraId="0FC9AE4B" w14:textId="77777777" w:rsidTr="00A95ECF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48005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MgBas1F</w:t>
            </w:r>
          </w:p>
        </w:tc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FED73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CGCGGCTGAAGATTATTCC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52002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qRT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-PCR; </w:t>
            </w:r>
            <w:r>
              <w:rPr>
                <w:i/>
                <w:iCs/>
                <w:color w:val="000000"/>
                <w:sz w:val="22"/>
                <w:szCs w:val="22"/>
              </w:rPr>
              <w:t>BAS1</w:t>
            </w:r>
            <w:r>
              <w:rPr>
                <w:color w:val="000000"/>
                <w:sz w:val="22"/>
                <w:szCs w:val="22"/>
              </w:rPr>
              <w:t xml:space="preserve"> primer</w:t>
            </w:r>
          </w:p>
        </w:tc>
      </w:tr>
      <w:tr w:rsidR="004642DE" w14:paraId="02032E87" w14:textId="77777777" w:rsidTr="00A95ECF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02440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MgBas1R</w:t>
            </w:r>
          </w:p>
        </w:tc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B7D26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TTCTCCACCCGTCTAATACC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CE2BD" w14:textId="77777777" w:rsidR="004642DE" w:rsidRDefault="004642DE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qRT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-PCR; </w:t>
            </w:r>
            <w:r>
              <w:rPr>
                <w:i/>
                <w:iCs/>
                <w:color w:val="000000"/>
                <w:sz w:val="22"/>
                <w:szCs w:val="22"/>
              </w:rPr>
              <w:t>BAS1</w:t>
            </w:r>
            <w:r>
              <w:rPr>
                <w:color w:val="000000"/>
                <w:sz w:val="22"/>
                <w:szCs w:val="22"/>
              </w:rPr>
              <w:t xml:space="preserve"> primer</w:t>
            </w:r>
          </w:p>
        </w:tc>
      </w:tr>
    </w:tbl>
    <w:p w14:paraId="4F1C978E" w14:textId="77777777" w:rsidR="00723F48" w:rsidRPr="004642DE" w:rsidRDefault="00723F48">
      <w:pPr>
        <w:rPr>
          <w:b/>
        </w:rPr>
      </w:pPr>
    </w:p>
    <w:sectPr w:rsidR="00723F48" w:rsidRPr="004642DE" w:rsidSect="00464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DE"/>
    <w:rsid w:val="004642DE"/>
    <w:rsid w:val="00723F48"/>
    <w:rsid w:val="00A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D7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DE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DE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Macintosh Word</Application>
  <DocSecurity>0</DocSecurity>
  <Lines>15</Lines>
  <Paragraphs>4</Paragraphs>
  <ScaleCrop>false</ScaleCrop>
  <Company>Kansas State University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Sanzhen Liu</dc:creator>
  <cp:keywords/>
  <dc:description/>
  <cp:lastModifiedBy>Sanzhen Liu</cp:lastModifiedBy>
  <cp:revision>2</cp:revision>
  <dcterms:created xsi:type="dcterms:W3CDTF">2019-05-21T04:35:00Z</dcterms:created>
  <dcterms:modified xsi:type="dcterms:W3CDTF">2019-05-21T15:48:00Z</dcterms:modified>
</cp:coreProperties>
</file>