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D4" w:rsidRPr="006C59FF" w:rsidRDefault="001E31D4" w:rsidP="001E31D4">
      <w:pPr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Pr="006C59FF">
        <w:rPr>
          <w:b/>
          <w:color w:val="000000" w:themeColor="text1"/>
        </w:rPr>
        <w:t>1</w:t>
      </w:r>
      <w:r w:rsidRPr="003E15B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Table</w:t>
      </w:r>
      <w:r w:rsidRPr="006C59FF">
        <w:rPr>
          <w:b/>
          <w:color w:val="000000" w:themeColor="text1"/>
        </w:rPr>
        <w:t>. Plasmids used in this work</w:t>
      </w:r>
    </w:p>
    <w:tbl>
      <w:tblPr>
        <w:tblW w:w="7800" w:type="dxa"/>
        <w:tblBorders>
          <w:top w:val="single" w:sz="4" w:space="0" w:color="00000A"/>
          <w:left w:val="nil"/>
          <w:bottom w:val="single" w:sz="2" w:space="0" w:color="4F81BD"/>
          <w:right w:val="nil"/>
          <w:insideH w:val="single" w:sz="2" w:space="0" w:color="4F81BD"/>
          <w:insideV w:val="nil"/>
        </w:tblBorders>
        <w:tblLook w:val="04A0" w:firstRow="1" w:lastRow="0" w:firstColumn="1" w:lastColumn="0" w:noHBand="0" w:noVBand="1"/>
      </w:tblPr>
      <w:tblGrid>
        <w:gridCol w:w="853"/>
        <w:gridCol w:w="979"/>
        <w:gridCol w:w="3177"/>
        <w:gridCol w:w="1098"/>
        <w:gridCol w:w="1693"/>
      </w:tblGrid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nil"/>
            </w:tcBorders>
            <w:shd w:val="clear" w:color="auto" w:fill="FFFFFF"/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979" w:type="dxa"/>
            <w:tcBorders>
              <w:top w:val="single" w:sz="4" w:space="0" w:color="00000A"/>
              <w:left w:val="nil"/>
              <w:bottom w:val="single" w:sz="2" w:space="0" w:color="4F81BD"/>
              <w:right w:val="nil"/>
            </w:tcBorders>
            <w:shd w:val="clear" w:color="auto" w:fill="FFFFFF"/>
            <w:vAlign w:val="center"/>
          </w:tcPr>
          <w:p w:rsidR="001E31D4" w:rsidRPr="006C59FF" w:rsidRDefault="001E31D4" w:rsidP="00A07634">
            <w:pPr>
              <w:tabs>
                <w:tab w:val="right" w:pos="1768"/>
              </w:tabs>
              <w:spacing w:after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Backbone</w:t>
            </w:r>
          </w:p>
        </w:tc>
        <w:tc>
          <w:tcPr>
            <w:tcW w:w="3177" w:type="dxa"/>
            <w:tcBorders>
              <w:top w:val="single" w:sz="4" w:space="0" w:color="00000A"/>
              <w:left w:val="nil"/>
              <w:bottom w:val="single" w:sz="2" w:space="0" w:color="4F81BD"/>
              <w:right w:val="nil"/>
            </w:tcBorders>
            <w:shd w:val="clear" w:color="auto" w:fill="FFFFFF"/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Insertion</w:t>
            </w:r>
          </w:p>
        </w:tc>
        <w:tc>
          <w:tcPr>
            <w:tcW w:w="1098" w:type="dxa"/>
            <w:tcBorders>
              <w:top w:val="single" w:sz="4" w:space="0" w:color="00000A"/>
              <w:left w:val="nil"/>
              <w:bottom w:val="single" w:sz="2" w:space="0" w:color="4F81BD"/>
              <w:right w:val="nil"/>
            </w:tcBorders>
            <w:shd w:val="clear" w:color="auto" w:fill="FFFFFF"/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Selection</w:t>
            </w:r>
          </w:p>
        </w:tc>
        <w:tc>
          <w:tcPr>
            <w:tcW w:w="1693" w:type="dxa"/>
            <w:tcBorders>
              <w:top w:val="single" w:sz="4" w:space="0" w:color="00000A"/>
              <w:left w:val="nil"/>
              <w:bottom w:val="single" w:sz="2" w:space="0" w:color="4F81BD"/>
              <w:right w:val="nil"/>
            </w:tcBorders>
            <w:shd w:val="clear" w:color="auto" w:fill="FFFFFF"/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cs="Calibri"/>
                <w:color w:val="000000" w:themeColor="text1"/>
                <w:sz w:val="16"/>
                <w:szCs w:val="16"/>
              </w:rPr>
              <w:instrText xml:space="preserve"> ADDIN EN.CITE &lt;EndNote&gt;&lt;Cite&gt;&lt;Author&gt;Norrander&lt;/Author&gt;&lt;Year&gt;1983&lt;/Year&gt;&lt;RecNum&gt;753&lt;/RecNum&gt;&lt;DisplayText&gt;[1]&lt;/DisplayText&gt;&lt;record&gt;&lt;rec-number&gt;753&lt;/rec-number&gt;&lt;foreign-keys&gt;&lt;key app="EN" db-id="av09rddrmr5vznesaewxde0m0r5vfardt9xf" timestamp="1496754819"&gt;753&lt;/key&gt;&lt;/foreign-keys&gt;&lt;ref-type name="Journal Article"&gt;17&lt;/ref-type&gt;&lt;contributors&gt;&lt;authors&gt;&lt;author&gt;Norrander, J.&lt;/author&gt;&lt;author&gt;Kempe, T.&lt;/author&gt;&lt;author&gt;Messing, J.&lt;/author&gt;&lt;/authors&gt;&lt;/contributors&gt;&lt;auth-address&gt;Molec Genet Inc,Minnetonka,Mn 55343&lt;/auth-address&gt;&lt;titles&gt;&lt;title&gt;Construction of Improved M13-Vectors Using Oligodeoxynucleotide-Directed Mutagenesis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101-106&lt;/pages&gt;&lt;volume&gt;26&lt;/volume&gt;&lt;number&gt;1&lt;/number&gt;&lt;dates&gt;&lt;year&gt;1983&lt;/year&gt;&lt;/dates&gt;&lt;isbn&gt;0378-1119&lt;/isbn&gt;&lt;accession-num&gt;WOS:A1983RZ38700012&lt;/accession-num&gt;&lt;urls&gt;&lt;related-urls&gt;&lt;url&gt;&amp;lt;Go to ISI&amp;gt;://WOS:A1983RZ38700012&lt;/url&gt;&lt;/related-urls&gt;&lt;/urls&gt;&lt;electronic-resource-num&gt;Doi 10.1016/0378-1119(83)90040-9&lt;/electronic-resource-num&gt;&lt;language&gt;English&lt;/language&gt;&lt;/record&gt;&lt;/Cite&gt;&lt;/EndNote&gt;</w:instrTex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[</w:t>
            </w:r>
            <w:hyperlink w:anchor="_ENREF_1" w:tooltip="Norrander, 1983 #753" w:history="1">
              <w:r>
                <w:rPr>
                  <w:rFonts w:cs="Calibri"/>
                  <w:noProof/>
                  <w:color w:val="000000" w:themeColor="text1"/>
                  <w:sz w:val="16"/>
                  <w:szCs w:val="16"/>
                </w:rPr>
                <w:t>1</w:t>
              </w:r>
            </w:hyperlink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end"/>
            </w:r>
            <w:r w:rsidR="00DC3CCB">
              <w:rPr>
                <w:rFonts w:cs="Calibri"/>
                <w:color w:val="000000" w:themeColor="text1"/>
                <w:sz w:val="16"/>
                <w:szCs w:val="16"/>
              </w:rPr>
              <w:t xml:space="preserve"> in S1 Text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pBR322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TcR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cs="Calibri"/>
                <w:color w:val="000000" w:themeColor="text1"/>
                <w:sz w:val="16"/>
                <w:szCs w:val="16"/>
              </w:rPr>
              <w:instrText xml:space="preserve"> ADDIN EN.CITE &lt;EndNote&gt;&lt;Cite&gt;&lt;Author&gt;Bolivar&lt;/Author&gt;&lt;Year&gt;1977&lt;/Year&gt;&lt;RecNum&gt;763&lt;/RecNum&gt;&lt;DisplayText&gt;[2]&lt;/DisplayText&gt;&lt;record&gt;&lt;rec-number&gt;763&lt;/rec-number&gt;&lt;foreign-keys&gt;&lt;key app="EN" db-id="av09rddrmr5vznesaewxde0m0r5vfardt9xf" timestamp="1496754923"&gt;763&lt;/key&gt;&lt;/foreign-keys&gt;&lt;ref-type name="Journal Article"&gt;17&lt;/ref-type&gt;&lt;contributors&gt;&lt;authors&gt;&lt;author&gt;Bolivar, F.&lt;/author&gt;&lt;author&gt;Rodriguez, R. L.&lt;/author&gt;&lt;author&gt;Greene, P. J.&lt;/author&gt;&lt;author&gt;Betlach, M. C.&lt;/author&gt;&lt;author&gt;Heyneker, H. L.&lt;/author&gt;&lt;author&gt;Boyer, H. W.&lt;/author&gt;&lt;author&gt;Crosa, J. H.&lt;/author&gt;&lt;author&gt;Falkow, S.&lt;/author&gt;&lt;/authors&gt;&lt;/contributors&gt;&lt;auth-address&gt;Univ Calif San Francisco,Dept Biochem &amp;amp; Biophys,San Francisco,Ca 94143&amp;#xD;Univ Washington,Dept Microbiol,Seattle,Wa 98195&lt;/auth-address&gt;&lt;titles&gt;&lt;title&gt;Construction and Characterization of New Cloning Vehicles .2. Multipurpose Cloning System&lt;/title&gt;&lt;secondary-title&gt;Gene&lt;/secondary-title&gt;&lt;alt-title&gt;Gene&lt;/alt-title&gt;&lt;/titles&gt;&lt;periodical&gt;&lt;full-title&gt;Gene&lt;/full-title&gt;&lt;abbr-1&gt;Gene&lt;/abbr-1&gt;&lt;/periodical&gt;&lt;alt-periodical&gt;&lt;full-title&gt;Gene&lt;/full-title&gt;&lt;abbr-1&gt;Gene&lt;/abbr-1&gt;&lt;/alt-periodical&gt;&lt;pages&gt;95-113&lt;/pages&gt;&lt;volume&gt;2&lt;/volume&gt;&lt;number&gt;2&lt;/number&gt;&lt;dates&gt;&lt;year&gt;1977&lt;/year&gt;&lt;/dates&gt;&lt;isbn&gt;0378-1119&lt;/isbn&gt;&lt;accession-num&gt;WOS:A1977EC66600003&lt;/accession-num&gt;&lt;urls&gt;&lt;related-urls&gt;&lt;url&gt;&amp;lt;Go to ISI&amp;gt;://WOS:A1977EC66600003&lt;/url&gt;&lt;/related-urls&gt;&lt;/urls&gt;&lt;language&gt;English&lt;/language&gt;&lt;/record&gt;&lt;/Cite&gt;&lt;/EndNote&gt;</w:instrTex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[</w:t>
            </w:r>
            <w:hyperlink w:anchor="_ENREF_2" w:tooltip="Bolivar, 1977 #763" w:history="1">
              <w:r>
                <w:rPr>
                  <w:rFonts w:cs="Calibri"/>
                  <w:noProof/>
                  <w:color w:val="000000" w:themeColor="text1"/>
                  <w:sz w:val="16"/>
                  <w:szCs w:val="16"/>
                </w:rPr>
                <w:t>2</w:t>
              </w:r>
            </w:hyperlink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end"/>
            </w:r>
            <w:r w:rsidR="00DC3CCB">
              <w:rPr>
                <w:rFonts w:cs="Calibri"/>
                <w:color w:val="000000" w:themeColor="text1"/>
                <w:sz w:val="16"/>
                <w:szCs w:val="16"/>
              </w:rPr>
              <w:t xml:space="preserve"> in S1 Text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pUC4K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cs="Calibri"/>
                <w:color w:val="000000" w:themeColor="text1"/>
                <w:sz w:val="16"/>
                <w:szCs w:val="16"/>
              </w:rPr>
              <w:instrText xml:space="preserve"> ADDIN EN.CITE &lt;EndNote&gt;&lt;Cite&gt;&lt;Author&gt;Taylor&lt;/Author&gt;&lt;Year&gt;1988&lt;/Year&gt;&lt;RecNum&gt;764&lt;/RecNum&gt;&lt;DisplayText&gt;[3]&lt;/DisplayText&gt;&lt;record&gt;&lt;rec-number&gt;764&lt;/rec-number&gt;&lt;foreign-keys&gt;&lt;key app="EN" db-id="av09rddrmr5vznesaewxde0m0r5vfardt9xf" timestamp="1496755034"&gt;764&lt;/key&gt;&lt;/foreign-keys&gt;&lt;ref-type name="Journal Article"&gt;17&lt;/ref-type&gt;&lt;contributors&gt;&lt;authors&gt;&lt;author&gt;Taylor, L. A.&lt;/author&gt;&lt;author&gt;Rose, R. E.&lt;/author&gt;&lt;/authors&gt;&lt;/contributors&gt;&lt;titles&gt;&lt;title&gt;A Correction in the Nucleotide-Sequence of the Tn903 Kanamycin Resistance Determinant in Puc4k&lt;/title&gt;&lt;secondary-title&gt;Nucleic Acids Research&lt;/secondary-title&gt;&lt;alt-title&gt;Nucleic Acids Res&lt;/alt-title&gt;&lt;/titles&gt;&lt;periodical&gt;&lt;full-title&gt;Nucleic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research&lt;/abbr-1&gt;&lt;/alt-periodical&gt;&lt;pages&gt;358-358&lt;/pages&gt;&lt;volume&gt;16&lt;/volume&gt;&lt;number&gt;1&lt;/number&gt;&lt;dates&gt;&lt;year&gt;1988&lt;/year&gt;&lt;pub-dates&gt;&lt;date&gt;Jan 11&lt;/date&gt;&lt;/pub-dates&gt;&lt;/dates&gt;&lt;isbn&gt;0305-1048&lt;/isbn&gt;&lt;accession-num&gt;WOS:A1988L683300034&lt;/accession-num&gt;&lt;urls&gt;&lt;related-urls&gt;&lt;url&gt;&amp;lt;Go to ISI&amp;gt;://WOS:A1988L683300034&lt;/url&gt;&lt;/related-urls&gt;&lt;/urls&gt;&lt;electronic-resource-num&gt;Doi 10.1093/Nar/16.1.358&lt;/electronic-resource-num&gt;&lt;language&gt;English&lt;/language&gt;&lt;/record&gt;&lt;/Cite&gt;&lt;/EndNote&gt;</w:instrTex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[</w:t>
            </w:r>
            <w:hyperlink w:anchor="_ENREF_3" w:tooltip="Taylor, 1988 #764" w:history="1">
              <w:r>
                <w:rPr>
                  <w:rFonts w:cs="Calibri"/>
                  <w:noProof/>
                  <w:color w:val="000000" w:themeColor="text1"/>
                  <w:sz w:val="16"/>
                  <w:szCs w:val="16"/>
                </w:rPr>
                <w:t>3</w:t>
              </w:r>
            </w:hyperlink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end"/>
            </w:r>
            <w:r w:rsidR="00DC3CCB">
              <w:rPr>
                <w:rFonts w:cs="Calibri"/>
                <w:color w:val="000000" w:themeColor="text1"/>
                <w:sz w:val="16"/>
                <w:szCs w:val="16"/>
              </w:rPr>
              <w:t xml:space="preserve"> in S1 Text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pET-26b+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pBR322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Novagen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®, USA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pLC70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pCR2.1-TOPO</w:t>
            </w:r>
          </w:p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pTN1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trpE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, HMG-CoA red.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PEVuZE5vdGU+PENpdGU+PEF1dGhvcj5TYW50YW5nZWxvPC9BdXRob3I+PFllYXI+MjAwODwvWWVh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</w:fldData>
              </w:fldChar>
            </w:r>
            <w:r>
              <w:rPr>
                <w:rFonts w:cs="Calibri"/>
                <w:color w:val="000000" w:themeColor="text1"/>
                <w:sz w:val="16"/>
                <w:szCs w:val="16"/>
              </w:rPr>
              <w:instrText xml:space="preserve"> ADDIN EN.CITE </w:instrTex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PEVuZE5vdGU+PENpdGU+PEF1dGhvcj5TYW50YW5nZWxvPC9BdXRob3I+PFllYXI+MjAwODwvWWVh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</w:fldData>
              </w:fldChar>
            </w:r>
            <w:r>
              <w:rPr>
                <w:rFonts w:cs="Calibri"/>
                <w:color w:val="000000" w:themeColor="text1"/>
                <w:sz w:val="16"/>
                <w:szCs w:val="16"/>
              </w:rPr>
              <w:instrText xml:space="preserve"> ADDIN EN.CITE.DATA </w:instrText>
            </w:r>
            <w:r>
              <w:rPr>
                <w:rFonts w:cs="Calibri"/>
                <w:color w:val="000000" w:themeColor="text1"/>
                <w:sz w:val="16"/>
                <w:szCs w:val="16"/>
              </w:rPr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Calibri"/>
                <w:color w:val="000000" w:themeColor="text1"/>
                <w:sz w:val="16"/>
                <w:szCs w:val="16"/>
              </w:rPr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[</w:t>
            </w:r>
            <w:hyperlink w:anchor="_ENREF_4" w:tooltip="Santangelo, 2008 #31" w:history="1">
              <w:r w:rsidR="00DC3CCB">
                <w:rPr>
                  <w:rFonts w:cs="Calibri"/>
                  <w:noProof/>
                  <w:color w:val="000000" w:themeColor="text1"/>
                  <w:sz w:val="16"/>
                  <w:szCs w:val="16"/>
                </w:rPr>
                <w:t>54</w:t>
              </w:r>
            </w:hyperlink>
            <w:r>
              <w:rPr>
                <w:rFonts w:cs="Calibri"/>
                <w:noProof/>
                <w:color w:val="000000" w:themeColor="text1"/>
                <w:sz w:val="16"/>
                <w:szCs w:val="16"/>
              </w:rPr>
              <w:t>]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fldChar w:fldCharType="end"/>
            </w:r>
          </w:p>
        </w:tc>
        <w:bookmarkStart w:id="0" w:name="_GoBack"/>
        <w:bookmarkEnd w:id="0"/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pJO344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pET-26b+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integrase gene from plasmid pTN3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4" w:space="0" w:color="00000A"/>
              <w:left w:val="nil"/>
              <w:bottom w:val="single" w:sz="2" w:space="0" w:color="4F81BD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pJO496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pJO344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Int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</w:rPr>
              <w:t>pTN3</w:t>
            </w: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 Y428A allele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2" w:space="0" w:color="95B3D7"/>
              <w:bottom w:val="single" w:sz="2" w:space="0" w:color="4F81BD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4F81BD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pJO322</w:t>
            </w:r>
          </w:p>
        </w:tc>
        <w:tc>
          <w:tcPr>
            <w:tcW w:w="979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i/>
                <w:color w:val="000000" w:themeColor="text1"/>
                <w:sz w:val="16"/>
                <w:szCs w:val="16"/>
                <w:lang w:val="it-IT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  <w:lang w:val="it-IT"/>
              </w:rPr>
              <w:t>Leu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 xml:space="preserve"> gene (2-88bp) from </w:t>
            </w:r>
            <w:r w:rsidRPr="006C59FF">
              <w:rPr>
                <w:rFonts w:cs="Calibri"/>
                <w:i/>
                <w:color w:val="000000" w:themeColor="text1"/>
                <w:sz w:val="16"/>
                <w:szCs w:val="16"/>
                <w:lang w:val="it-IT"/>
              </w:rPr>
              <w:t>T. nautili</w:t>
            </w:r>
          </w:p>
        </w:tc>
        <w:tc>
          <w:tcPr>
            <w:tcW w:w="1098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693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4F81BD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pMC451</w:t>
            </w:r>
          </w:p>
        </w:tc>
        <w:tc>
          <w:tcPr>
            <w:tcW w:w="979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pBR322</w:t>
            </w:r>
          </w:p>
        </w:tc>
        <w:tc>
          <w:tcPr>
            <w:tcW w:w="3177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i/>
                <w:color w:val="000000" w:themeColor="text1"/>
                <w:sz w:val="16"/>
                <w:szCs w:val="16"/>
                <w:lang w:val="it-IT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  <w:lang w:val="it-IT"/>
              </w:rPr>
              <w:t>Leu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 xml:space="preserve"> gene (2-88bp) from </w:t>
            </w:r>
            <w:r w:rsidRPr="006C59FF">
              <w:rPr>
                <w:rFonts w:cs="Calibri"/>
                <w:i/>
                <w:color w:val="000000" w:themeColor="text1"/>
                <w:sz w:val="16"/>
                <w:szCs w:val="16"/>
                <w:lang w:val="it-IT"/>
              </w:rPr>
              <w:t>T. nautili</w:t>
            </w:r>
          </w:p>
        </w:tc>
        <w:tc>
          <w:tcPr>
            <w:tcW w:w="1098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TcR</w:t>
            </w:r>
            <w:proofErr w:type="spellEnd"/>
          </w:p>
        </w:tc>
        <w:tc>
          <w:tcPr>
            <w:tcW w:w="1693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4F81BD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pMC449</w:t>
            </w:r>
          </w:p>
        </w:tc>
        <w:tc>
          <w:tcPr>
            <w:tcW w:w="979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  <w:lang w:val="it-IT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  <w:lang w:val="it-IT"/>
              </w:rPr>
              <w:t>Leu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 xml:space="preserve"> gene (2-44bp)</w:t>
            </w:r>
          </w:p>
        </w:tc>
        <w:tc>
          <w:tcPr>
            <w:tcW w:w="1098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693" w:type="dxa"/>
            <w:tcBorders>
              <w:top w:val="single" w:sz="2" w:space="0" w:color="4F81BD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pMC477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pMC451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  <w:lang w:val="en-GB"/>
              </w:rPr>
              <w:t>Leu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 gene (2-44bp)+lacZ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>α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 from pMC449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pMC479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pMC451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  <w:lang w:val="en-GB"/>
              </w:rPr>
              <w:t>Leu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 gene (2-44bp)+lacZ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it-IT"/>
              </w:rPr>
              <w:t>α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lang w:val="en-GB"/>
              </w:rPr>
              <w:t xml:space="preserve"> from pMC449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pRC524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pLC70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integrase gene from plasmid pTN3 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trpE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, HMG-CoA red.</w:t>
            </w:r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pRC526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pLC70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Y428A mutant of integrase gene from plasmid pTN3 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trpE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, HMG-CoA red.</w:t>
            </w:r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pCB538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LacZ100 inverted fragment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C59FF">
              <w:rPr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pCB548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genomic region of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</w:rPr>
              <w:t>Gly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 (gene ID: BD01_1557) + genomic region of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tRNA</w:t>
            </w:r>
            <w:r w:rsidRPr="006C59FF">
              <w:rPr>
                <w:rFonts w:cs="Calibri"/>
                <w:color w:val="000000" w:themeColor="text1"/>
                <w:sz w:val="16"/>
                <w:szCs w:val="16"/>
                <w:vertAlign w:val="superscript"/>
              </w:rPr>
              <w:t>Gly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 (gene ID: BD01_1976) 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pCB552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contextualSpacing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genomic fragment  of  BD01_1166 + genomic fragment of BD01_1584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pCB572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C59FF">
              <w:rPr>
                <w:color w:val="000000" w:themeColor="text1"/>
                <w:sz w:val="16"/>
                <w:szCs w:val="16"/>
              </w:rPr>
              <w:t>LacZ175 inverted fragment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  <w:tr w:rsidR="001E31D4" w:rsidRPr="006C59FF" w:rsidTr="00A07634">
        <w:trPr>
          <w:trHeight w:val="340"/>
        </w:trPr>
        <w:tc>
          <w:tcPr>
            <w:tcW w:w="85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pCB574</w:t>
            </w:r>
          </w:p>
        </w:tc>
        <w:tc>
          <w:tcPr>
            <w:tcW w:w="97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pUC18</w:t>
            </w:r>
          </w:p>
        </w:tc>
        <w:tc>
          <w:tcPr>
            <w:tcW w:w="31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C59FF">
              <w:rPr>
                <w:color w:val="000000" w:themeColor="text1"/>
                <w:sz w:val="16"/>
                <w:szCs w:val="16"/>
              </w:rPr>
              <w:t>LacZ250 inverted fragment</w:t>
            </w:r>
          </w:p>
        </w:tc>
        <w:tc>
          <w:tcPr>
            <w:tcW w:w="10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ApR</w:t>
            </w:r>
            <w:proofErr w:type="spellEnd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KmR</w:t>
            </w:r>
            <w:proofErr w:type="spellEnd"/>
          </w:p>
        </w:tc>
        <w:tc>
          <w:tcPr>
            <w:tcW w:w="16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tcMar>
              <w:left w:w="105" w:type="dxa"/>
            </w:tcMar>
            <w:vAlign w:val="center"/>
          </w:tcPr>
          <w:p w:rsidR="001E31D4" w:rsidRPr="006C59FF" w:rsidRDefault="001E31D4" w:rsidP="00A07634">
            <w:pPr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6C59FF">
              <w:rPr>
                <w:rFonts w:cs="Calibri"/>
                <w:color w:val="000000" w:themeColor="text1"/>
                <w:sz w:val="16"/>
                <w:szCs w:val="16"/>
              </w:rPr>
              <w:t>This work</w:t>
            </w:r>
          </w:p>
        </w:tc>
      </w:tr>
    </w:tbl>
    <w:p w:rsidR="001E31D4" w:rsidRPr="006C59FF" w:rsidRDefault="001E31D4" w:rsidP="001E31D4">
      <w:pPr>
        <w:jc w:val="both"/>
        <w:rPr>
          <w:b/>
          <w:color w:val="000000" w:themeColor="text1"/>
        </w:rPr>
      </w:pPr>
    </w:p>
    <w:p w:rsidR="00754B03" w:rsidRDefault="00754B03"/>
    <w:sectPr w:rsidR="0075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D4"/>
    <w:rsid w:val="001E31D4"/>
    <w:rsid w:val="002A0A46"/>
    <w:rsid w:val="00754B03"/>
    <w:rsid w:val="00DC3CCB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32A4"/>
  <w15:docId w15:val="{59B9670F-17F4-40C5-87A3-BC84800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1D4"/>
    <w:pPr>
      <w:suppressAutoHyphens/>
    </w:pPr>
    <w:rPr>
      <w:rFonts w:ascii="Calibri" w:eastAsia="Droid Sans Fallback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Elizabeth Taylor</cp:lastModifiedBy>
  <cp:revision>3</cp:revision>
  <dcterms:created xsi:type="dcterms:W3CDTF">2017-06-20T09:56:00Z</dcterms:created>
  <dcterms:modified xsi:type="dcterms:W3CDTF">2017-06-20T11:24:00Z</dcterms:modified>
</cp:coreProperties>
</file>