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EBF4" w14:textId="14D810F2" w:rsidR="00390E22" w:rsidRDefault="00535D40" w:rsidP="00535D40">
      <w:pPr>
        <w:ind w:left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Supplementary Materials</w:t>
      </w:r>
    </w:p>
    <w:p w14:paraId="0BAA06EB" w14:textId="77777777" w:rsidR="00535D40" w:rsidRPr="00535D40" w:rsidRDefault="00535D40" w:rsidP="00535D40">
      <w:pPr>
        <w:ind w:left="720"/>
        <w:jc w:val="center"/>
        <w:rPr>
          <w:rFonts w:ascii="Arial" w:hAnsi="Arial"/>
          <w:b/>
        </w:rPr>
      </w:pPr>
    </w:p>
    <w:p w14:paraId="21E553BB" w14:textId="5D97BA6D" w:rsidR="00390E22" w:rsidRPr="00390E22" w:rsidRDefault="00390E22" w:rsidP="009F32B2">
      <w:pPr>
        <w:ind w:left="720" w:hanging="720"/>
        <w:rPr>
          <w:rFonts w:ascii="Arial" w:hAnsi="Arial"/>
          <w:b/>
        </w:rPr>
      </w:pPr>
      <w:r w:rsidRPr="00390E22">
        <w:rPr>
          <w:rFonts w:ascii="Arial" w:hAnsi="Arial"/>
          <w:b/>
        </w:rPr>
        <w:t>Nucleated Polymerization Model</w:t>
      </w:r>
      <w:r w:rsidR="00173F27">
        <w:rPr>
          <w:rFonts w:ascii="Arial" w:hAnsi="Arial"/>
          <w:b/>
        </w:rPr>
        <w:t>:</w:t>
      </w:r>
    </w:p>
    <w:p w14:paraId="189026DE" w14:textId="662675B3" w:rsidR="000C2554" w:rsidRDefault="00390E22" w:rsidP="00390E22">
      <w:pPr>
        <w:jc w:val="both"/>
        <w:rPr>
          <w:rFonts w:ascii="Arial" w:hAnsi="Arial"/>
        </w:rPr>
      </w:pPr>
      <w:r w:rsidRPr="00390E22">
        <w:rPr>
          <w:rFonts w:ascii="Arial" w:hAnsi="Arial"/>
        </w:rPr>
        <w:t xml:space="preserve">The dynamics of prion aggregates are typically modeled by the nucleated polymerization model </w:t>
      </w:r>
      <w:r w:rsidR="0035356D">
        <w:rPr>
          <w:rFonts w:ascii="Arial" w:hAnsi="Arial"/>
        </w:rPr>
        <w:t xml:space="preserve">(NPM) </w:t>
      </w:r>
      <w:r w:rsidRPr="00390E22">
        <w:rPr>
          <w:rFonts w:ascii="Arial" w:hAnsi="Arial"/>
        </w:rPr>
        <w:t xml:space="preserve">first introduced by </w:t>
      </w:r>
      <w:proofErr w:type="spellStart"/>
      <w:r w:rsidRPr="00390E22">
        <w:rPr>
          <w:rFonts w:ascii="Arial" w:hAnsi="Arial"/>
        </w:rPr>
        <w:t>Masel</w:t>
      </w:r>
      <w:proofErr w:type="spellEnd"/>
      <w:r>
        <w:rPr>
          <w:rFonts w:ascii="Arial" w:hAnsi="Arial"/>
        </w:rPr>
        <w:t>, Jensen and Nowak (1999)</w:t>
      </w:r>
      <w:r w:rsidR="007C4BAF">
        <w:rPr>
          <w:rFonts w:ascii="Arial" w:hAnsi="Arial"/>
        </w:rPr>
        <w:t xml:space="preserve"> </w:t>
      </w:r>
      <w:r w:rsidR="000C2554">
        <w:rPr>
          <w:rFonts w:ascii="Arial" w:hAnsi="Arial"/>
        </w:rPr>
        <w:t xml:space="preserve">for the </w:t>
      </w:r>
      <w:proofErr w:type="spellStart"/>
      <w:r w:rsidR="000C2554">
        <w:rPr>
          <w:rFonts w:ascii="Arial" w:hAnsi="Arial"/>
        </w:rPr>
        <w:t>PrP</w:t>
      </w:r>
      <w:proofErr w:type="spellEnd"/>
      <w:r w:rsidR="000C2554">
        <w:rPr>
          <w:rFonts w:ascii="Arial" w:hAnsi="Arial"/>
        </w:rPr>
        <w:t xml:space="preserve"> prion in mammals </w:t>
      </w:r>
      <w:r w:rsidR="007C4BAF">
        <w:rPr>
          <w:rFonts w:ascii="Arial" w:hAnsi="Arial"/>
        </w:rPr>
        <w:t xml:space="preserve">and </w:t>
      </w:r>
      <w:r w:rsidR="0035356D">
        <w:rPr>
          <w:rFonts w:ascii="Arial" w:hAnsi="Arial"/>
        </w:rPr>
        <w:t xml:space="preserve">later </w:t>
      </w:r>
      <w:r w:rsidR="007C4BAF">
        <w:rPr>
          <w:rFonts w:ascii="Arial" w:hAnsi="Arial"/>
        </w:rPr>
        <w:t xml:space="preserve">adapted for use </w:t>
      </w:r>
      <w:r w:rsidR="000C2554">
        <w:rPr>
          <w:rFonts w:ascii="Arial" w:hAnsi="Arial"/>
        </w:rPr>
        <w:t>in the study of the yeast prion [</w:t>
      </w:r>
      <w:r w:rsidR="000C2554" w:rsidRPr="000C2554">
        <w:rPr>
          <w:rFonts w:ascii="Arial" w:hAnsi="Arial"/>
          <w:i/>
        </w:rPr>
        <w:t>PSI</w:t>
      </w:r>
      <w:r w:rsidR="000C2554">
        <w:rPr>
          <w:rFonts w:ascii="Arial" w:hAnsi="Arial"/>
          <w:vertAlign w:val="superscript"/>
        </w:rPr>
        <w:t>+</w:t>
      </w:r>
      <w:r w:rsidR="000C2554">
        <w:rPr>
          <w:rFonts w:ascii="Arial" w:hAnsi="Arial"/>
        </w:rPr>
        <w:t xml:space="preserve">] </w:t>
      </w:r>
      <w:r w:rsidR="007C4BAF">
        <w:rPr>
          <w:rFonts w:ascii="Arial" w:hAnsi="Arial"/>
        </w:rPr>
        <w:t>(</w:t>
      </w:r>
      <w:proofErr w:type="spellStart"/>
      <w:r w:rsidR="000C2554" w:rsidRPr="000C2554">
        <w:rPr>
          <w:rFonts w:ascii="Arial" w:hAnsi="Arial"/>
        </w:rPr>
        <w:t>Derdowski</w:t>
      </w:r>
      <w:proofErr w:type="spellEnd"/>
      <w:r w:rsidR="000C2554">
        <w:rPr>
          <w:rFonts w:ascii="Arial" w:hAnsi="Arial"/>
        </w:rPr>
        <w:t xml:space="preserve"> et al, 2010; </w:t>
      </w:r>
      <w:r w:rsidR="007C4BAF">
        <w:rPr>
          <w:rFonts w:ascii="Arial" w:hAnsi="Arial"/>
        </w:rPr>
        <w:t xml:space="preserve">Davis </w:t>
      </w:r>
      <w:r w:rsidR="005F651B">
        <w:rPr>
          <w:rFonts w:ascii="Arial" w:hAnsi="Arial"/>
        </w:rPr>
        <w:t>&amp;</w:t>
      </w:r>
      <w:r w:rsidR="007C4BAF">
        <w:rPr>
          <w:rFonts w:ascii="Arial" w:hAnsi="Arial"/>
        </w:rPr>
        <w:t xml:space="preserve"> </w:t>
      </w:r>
      <w:proofErr w:type="spellStart"/>
      <w:r w:rsidR="007C4BAF">
        <w:rPr>
          <w:rFonts w:ascii="Arial" w:hAnsi="Arial"/>
        </w:rPr>
        <w:t>Sindi</w:t>
      </w:r>
      <w:proofErr w:type="spellEnd"/>
      <w:r w:rsidR="007C4BAF">
        <w:rPr>
          <w:rFonts w:ascii="Arial" w:hAnsi="Arial"/>
        </w:rPr>
        <w:t>, 2015).</w:t>
      </w:r>
      <w:r>
        <w:rPr>
          <w:rFonts w:ascii="Arial" w:hAnsi="Arial"/>
        </w:rPr>
        <w:t xml:space="preserve"> </w:t>
      </w:r>
      <w:r w:rsidRPr="00390E22">
        <w:rPr>
          <w:rFonts w:ascii="Arial" w:hAnsi="Arial"/>
        </w:rPr>
        <w:t>In this model, normal protein is converted to the prion form through contact with existing aggregates. Existing aggregates may also fragme</w:t>
      </w:r>
      <w:r w:rsidR="000C2554">
        <w:rPr>
          <w:rFonts w:ascii="Arial" w:hAnsi="Arial"/>
        </w:rPr>
        <w:t>nt into two smaller aggregates, soluble protein is continually created and both normal and aggregated protein can be diluted through the cell division process.</w:t>
      </w:r>
    </w:p>
    <w:p w14:paraId="5EB37592" w14:textId="77777777" w:rsidR="000C2554" w:rsidRDefault="000C2554" w:rsidP="00390E22">
      <w:pPr>
        <w:jc w:val="both"/>
        <w:rPr>
          <w:rFonts w:ascii="Arial" w:hAnsi="Arial"/>
        </w:rPr>
      </w:pPr>
    </w:p>
    <w:p w14:paraId="5D316820" w14:textId="60C0DA54" w:rsidR="00390E22" w:rsidRDefault="00DC441E" w:rsidP="00390E2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dynamics of protein under the NPM are typically modeled by an infinite system of ordinary differential equations tracking time-evolution of the concentration of normal protein, </w:t>
      </w:r>
      <w:proofErr w:type="gramStart"/>
      <m:oMath>
        <m:r>
          <w:rPr>
            <w:rFonts w:ascii="Cambria Math" w:hAnsi="Cambria Math"/>
          </w:rPr>
          <m:t>x(</m:t>
        </m:r>
        <w:proofErr w:type="gramEnd"/>
        <m:r>
          <w:rPr>
            <w:rFonts w:ascii="Cambria Math" w:hAnsi="Cambria Math"/>
          </w:rPr>
          <m:t>t)</m:t>
        </m:r>
      </m:oMath>
      <w:r>
        <w:rPr>
          <w:rFonts w:ascii="Arial" w:hAnsi="Arial"/>
        </w:rPr>
        <w:t>,</w:t>
      </w:r>
      <w:r w:rsidR="00B232A2">
        <w:rPr>
          <w:rFonts w:ascii="Arial" w:hAnsi="Arial"/>
        </w:rPr>
        <w:t xml:space="preserve"> and the concentration of aggregates of every possible size </w:t>
      </w:r>
      <m:oMath>
        <m:r>
          <w:rPr>
            <w:rFonts w:ascii="Cambria Math" w:hAnsi="Cambria Math"/>
          </w:rPr>
          <m:t>i</m:t>
        </m:r>
      </m:oMath>
      <w:r w:rsidR="00B232A2"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(t)</m:t>
        </m:r>
      </m:oMath>
      <w:r w:rsidR="00B232A2">
        <w:rPr>
          <w:rFonts w:ascii="Arial" w:hAnsi="Arial"/>
        </w:rPr>
        <w:t xml:space="preserve">, as follows: </w:t>
      </w:r>
    </w:p>
    <w:p w14:paraId="4F984139" w14:textId="5A072FC7" w:rsidR="007C4BAF" w:rsidRPr="007C4BAF" w:rsidRDefault="00B71FA0" w:rsidP="00390E22">
      <w:pPr>
        <w:jc w:val="both"/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=α-μx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-2βx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  <m:r>
            <w:rPr>
              <w:rFonts w:ascii="Cambria Math" w:hAnsi="Cambria Math"/>
            </w:rPr>
            <m:t>+γ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-2β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i-1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-γ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i-1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+2γ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i+1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nary>
          <m:r>
            <w:rPr>
              <w:rFonts w:ascii="Cambria Math" w:hAnsi="Cambria Math"/>
            </w:rPr>
            <m:t>.</m:t>
          </m:r>
        </m:oMath>
      </m:oMathPara>
    </w:p>
    <w:p w14:paraId="4E1F2E50" w14:textId="6184BE14" w:rsidR="00390E22" w:rsidRDefault="007D430B" w:rsidP="000A7C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these equations </w:t>
      </w:r>
      <m:oMath>
        <m:r>
          <w:rPr>
            <w:rFonts w:ascii="Cambria Math" w:hAnsi="Cambria Math"/>
          </w:rPr>
          <m:t>α</m:t>
        </m:r>
      </m:oMath>
      <w:r>
        <w:rPr>
          <w:rFonts w:ascii="Arial" w:hAnsi="Arial"/>
        </w:rPr>
        <w:t xml:space="preserve"> is the constant rate of synthesis of normal protein; </w:t>
      </w:r>
      <m:oMath>
        <m:r>
          <w:rPr>
            <w:rFonts w:ascii="Cambria Math" w:hAnsi="Cambria Math"/>
          </w:rPr>
          <m:t>β,</m:t>
        </m:r>
      </m:oMath>
      <w:r>
        <w:rPr>
          <w:rFonts w:ascii="Arial" w:hAnsi="Arial"/>
        </w:rPr>
        <w:t xml:space="preserve"> the rate that aggregates convert normal protein; </w:t>
      </w:r>
      <m:oMath>
        <m:r>
          <w:rPr>
            <w:rFonts w:ascii="Cambria Math" w:hAnsi="Cambria Math"/>
          </w:rPr>
          <m:t>μ</m:t>
        </m:r>
      </m:oMath>
      <w:r>
        <w:rPr>
          <w:rFonts w:ascii="Arial" w:hAnsi="Arial"/>
        </w:rPr>
        <w:t xml:space="preserve">, the rate of dilution through cellular division and </w:t>
      </w:r>
      <m:oMath>
        <m:r>
          <w:rPr>
            <w:rFonts w:ascii="Cambria Math" w:hAnsi="Cambria Math"/>
          </w:rPr>
          <m:t>γ</m:t>
        </m:r>
      </m:oMath>
      <w:r>
        <w:rPr>
          <w:rFonts w:ascii="Arial" w:hAnsi="Arial"/>
        </w:rPr>
        <w:t xml:space="preserve">, the rate of fragmentation. We note that aggregates are considered to be linear fibers and fragmentation is modeled to occur </w:t>
      </w:r>
      <w:r w:rsidR="000A7C2E">
        <w:rPr>
          <w:rFonts w:ascii="Arial" w:hAnsi="Arial"/>
        </w:rPr>
        <w:t xml:space="preserve">between any adjacent monomers. Finally, </w:t>
      </w:r>
      <w:r w:rsidR="00D70F08">
        <w:rPr>
          <w:rFonts w:ascii="Arial" w:hAnsi="Arial"/>
        </w:rPr>
        <w:t xml:space="preserve">in the NPM </w:t>
      </w:r>
      <w:r w:rsidR="000A7C2E">
        <w:rPr>
          <w:rFonts w:ascii="Arial" w:hAnsi="Arial"/>
        </w:rPr>
        <w:t xml:space="preserve">we assume that there is a minimal stable aggregate size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0A7C2E">
        <w:rPr>
          <w:rFonts w:ascii="Arial" w:hAnsi="Arial"/>
        </w:rPr>
        <w:t>. That is, if an aggregate is fragmented below this minimal size, the protein monomers will return to the soluble pool.</w:t>
      </w:r>
    </w:p>
    <w:p w14:paraId="19EC2A21" w14:textId="77777777" w:rsidR="000A7C2E" w:rsidRDefault="000A7C2E" w:rsidP="000A7C2E">
      <w:pPr>
        <w:jc w:val="both"/>
        <w:rPr>
          <w:rFonts w:ascii="Arial" w:hAnsi="Arial"/>
        </w:rPr>
      </w:pPr>
    </w:p>
    <w:p w14:paraId="4A867CF8" w14:textId="2507CAA3" w:rsidR="006401AE" w:rsidRDefault="000A7C2E" w:rsidP="000A7C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When the size-distribution is not explicitly needed, the NPM is often analyzed by considering the total number of aggregates,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(t)</m:t>
            </m:r>
          </m:e>
        </m:nary>
      </m:oMath>
      <w:r>
        <w:rPr>
          <w:rFonts w:ascii="Arial" w:hAnsi="Arial"/>
        </w:rPr>
        <w:t xml:space="preserve">, and the total concentration of aggregated protein,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 xml:space="preserve">i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(t)</m:t>
            </m:r>
          </m:e>
        </m:nary>
      </m:oMath>
      <w:r w:rsidR="006401AE">
        <w:rPr>
          <w:rFonts w:ascii="Arial" w:hAnsi="Arial"/>
        </w:rPr>
        <w:t>. Under these conditions, the NPM reduces from an infinite set of ODEs to the following set of three ODEs:</w:t>
      </w:r>
    </w:p>
    <w:p w14:paraId="2A3EF809" w14:textId="36F58C48" w:rsidR="00390E22" w:rsidRDefault="00B71FA0" w:rsidP="00390E22">
      <w:pPr>
        <w:ind w:left="720"/>
        <w:jc w:val="center"/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=α-μx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-2βx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μ+γ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+γZ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dZ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=-μZ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+2βx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- 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0051AF4E" w14:textId="7DDDB960" w:rsidR="00E73046" w:rsidRDefault="00E73046" w:rsidP="0028697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This is reduction is also called the “moment-closure” because the aggregate distribution is replaced by the </w:t>
      </w:r>
      <w:proofErr w:type="spellStart"/>
      <w:r>
        <w:rPr>
          <w:rFonts w:ascii="Arial" w:hAnsi="Arial"/>
        </w:rPr>
        <w:t>zeroth</w:t>
      </w:r>
      <w:proofErr w:type="spellEnd"/>
      <w:r>
        <w:rPr>
          <w:rFonts w:ascii="Arial" w:hAnsi="Arial"/>
        </w:rPr>
        <w:t xml:space="preserve"> (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Arial" w:hAnsi="Arial"/>
        </w:rPr>
        <w:t>) and first (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Arial" w:hAnsi="Arial"/>
        </w:rPr>
        <w:t>) moments of the aggregate size distribution.</w:t>
      </w:r>
    </w:p>
    <w:p w14:paraId="3E1D95AE" w14:textId="77777777" w:rsidR="00E73046" w:rsidRPr="00E73046" w:rsidRDefault="00E73046" w:rsidP="0028697C">
      <w:pPr>
        <w:jc w:val="both"/>
        <w:rPr>
          <w:rFonts w:ascii="Arial" w:hAnsi="Arial"/>
        </w:rPr>
      </w:pPr>
    </w:p>
    <w:p w14:paraId="18A6F2AC" w14:textId="5697AF54" w:rsidR="00BB7415" w:rsidRPr="00BB7415" w:rsidRDefault="00BB7415" w:rsidP="0028697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BB7415">
        <w:rPr>
          <w:rFonts w:ascii="Arial" w:hAnsi="Arial"/>
          <w:b/>
          <w:vertAlign w:val="subscript"/>
        </w:rPr>
        <w:t>0</w:t>
      </w:r>
      <w:r>
        <w:rPr>
          <w:rFonts w:ascii="Arial" w:hAnsi="Arial"/>
          <w:b/>
        </w:rPr>
        <w:t xml:space="preserve"> Value of Prion Aggregates</w:t>
      </w:r>
      <w:r w:rsidR="00173F27">
        <w:rPr>
          <w:rFonts w:ascii="Arial" w:hAnsi="Arial"/>
          <w:b/>
        </w:rPr>
        <w:t>:</w:t>
      </w:r>
    </w:p>
    <w:p w14:paraId="22F78796" w14:textId="7070F3B7" w:rsidR="00E73046" w:rsidRDefault="003457DB" w:rsidP="0028697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Using a PDE version of the NPM, </w:t>
      </w:r>
      <w:proofErr w:type="spellStart"/>
      <w:r w:rsidR="00E00389" w:rsidRPr="00E00389">
        <w:rPr>
          <w:rFonts w:ascii="Arial" w:hAnsi="Arial"/>
        </w:rPr>
        <w:t>Prüss</w:t>
      </w:r>
      <w:proofErr w:type="spellEnd"/>
      <w:r w:rsidR="00E00389">
        <w:rPr>
          <w:rFonts w:ascii="Arial" w:hAnsi="Arial"/>
        </w:rPr>
        <w:t xml:space="preserve"> et al (2006) observed that the reduced system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,Z(t)</m:t>
            </m:r>
          </m:e>
        </m:d>
      </m:oMath>
      <w:r w:rsidR="00E00389">
        <w:rPr>
          <w:rFonts w:ascii="Arial" w:hAnsi="Arial"/>
        </w:rPr>
        <w:t xml:space="preserve"> could be understood as a standard epidemiological model</w:t>
      </w:r>
      <w:r w:rsidR="006102B5">
        <w:rPr>
          <w:rFonts w:ascii="Arial" w:hAnsi="Arial"/>
        </w:rPr>
        <w:t xml:space="preserve">. In this case the system behavior can be understood by the </w:t>
      </w:r>
      <w:r w:rsidR="00E00389">
        <w:rPr>
          <w:rFonts w:ascii="Arial" w:hAnsi="Arial"/>
        </w:rPr>
        <w:t xml:space="preserve">basic reproductive number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00389">
        <w:rPr>
          <w:rFonts w:ascii="Arial" w:hAnsi="Arial"/>
        </w:rPr>
        <w:t xml:space="preserve">. This </w:t>
      </w:r>
      <w:r w:rsidR="00E73046">
        <w:rPr>
          <w:rFonts w:ascii="Arial" w:hAnsi="Arial"/>
        </w:rPr>
        <w:t xml:space="preserve">value arises in many epidemic models and is </w:t>
      </w:r>
      <w:r w:rsidR="00E00389">
        <w:rPr>
          <w:rFonts w:ascii="Arial" w:hAnsi="Arial"/>
        </w:rPr>
        <w:t xml:space="preserve">the number of </w:t>
      </w:r>
      <w:r w:rsidR="00E73046">
        <w:rPr>
          <w:rFonts w:ascii="Arial" w:hAnsi="Arial"/>
        </w:rPr>
        <w:t>secondary infections</w:t>
      </w:r>
      <w:r w:rsidR="00E00389">
        <w:rPr>
          <w:rFonts w:ascii="Arial" w:hAnsi="Arial"/>
        </w:rPr>
        <w:t xml:space="preserve"> created by a single </w:t>
      </w:r>
      <w:r w:rsidR="00E73046">
        <w:rPr>
          <w:rFonts w:ascii="Arial" w:hAnsi="Arial"/>
        </w:rPr>
        <w:t xml:space="preserve">infectious entity </w:t>
      </w:r>
      <w:r w:rsidR="00E00389">
        <w:rPr>
          <w:rFonts w:ascii="Arial" w:hAnsi="Arial"/>
        </w:rPr>
        <w:t xml:space="preserve">during its lifetime.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&gt;1</m:t>
        </m:r>
      </m:oMath>
      <w:r w:rsidR="00E00389">
        <w:rPr>
          <w:rFonts w:ascii="Arial" w:hAnsi="Arial"/>
        </w:rPr>
        <w:t xml:space="preserve">, </w:t>
      </w:r>
      <w:r w:rsidR="00E73046">
        <w:rPr>
          <w:rFonts w:ascii="Arial" w:hAnsi="Arial"/>
        </w:rPr>
        <w:t>a</w:t>
      </w:r>
      <w:r w:rsidR="00E00389">
        <w:rPr>
          <w:rFonts w:ascii="Arial" w:hAnsi="Arial"/>
        </w:rPr>
        <w:t xml:space="preserve"> </w:t>
      </w:r>
      <w:r w:rsidR="00E73046">
        <w:rPr>
          <w:rFonts w:ascii="Arial" w:hAnsi="Arial"/>
        </w:rPr>
        <w:t>disease</w:t>
      </w:r>
      <w:r w:rsidR="00E00389">
        <w:rPr>
          <w:rFonts w:ascii="Arial" w:hAnsi="Arial"/>
        </w:rPr>
        <w:t xml:space="preserve"> will persist stably</w:t>
      </w:r>
      <w:r w:rsidR="00E73046">
        <w:rPr>
          <w:rFonts w:ascii="Arial" w:hAnsi="Arial"/>
        </w:rPr>
        <w:t xml:space="preserve"> and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&lt;1</m:t>
        </m:r>
      </m:oMath>
      <w:r w:rsidR="00E73046">
        <w:rPr>
          <w:rFonts w:ascii="Arial" w:hAnsi="Arial"/>
        </w:rPr>
        <w:t xml:space="preserve"> the disease will die out.</w:t>
      </w:r>
      <w:r w:rsidR="00E00389">
        <w:rPr>
          <w:rFonts w:ascii="Arial" w:hAnsi="Arial"/>
        </w:rPr>
        <w:t xml:space="preserve"> </w:t>
      </w:r>
    </w:p>
    <w:p w14:paraId="1E06F89C" w14:textId="77777777" w:rsidR="00E73046" w:rsidRDefault="00E73046" w:rsidP="0028697C">
      <w:pPr>
        <w:jc w:val="both"/>
        <w:rPr>
          <w:rFonts w:ascii="Arial" w:hAnsi="Arial"/>
        </w:rPr>
      </w:pPr>
    </w:p>
    <w:p w14:paraId="5AB64A3C" w14:textId="0D1948B5" w:rsidR="0028697C" w:rsidRDefault="008447EB" w:rsidP="0028697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particular, when the number of aggregates is small and the pool of soluble protein large, </w:t>
      </w:r>
      <w:r w:rsidR="00274416">
        <w:rPr>
          <w:rFonts w:ascii="Arial" w:hAnsi="Arial"/>
        </w:rPr>
        <w:t xml:space="preserve">as we will detail below, </w:t>
      </w:r>
      <w:r>
        <w:rPr>
          <w:rFonts w:ascii="Arial" w:hAnsi="Arial"/>
        </w:rPr>
        <w:t xml:space="preserve">the </w:t>
      </w:r>
      <w:r w:rsidR="00274416">
        <w:rPr>
          <w:rFonts w:ascii="Arial" w:hAnsi="Arial"/>
        </w:rPr>
        <w:t xml:space="preserve">rate of aggregate amplification will be a simple function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74416">
        <w:rPr>
          <w:rFonts w:ascii="Arial" w:hAnsi="Arial"/>
        </w:rPr>
        <w:t>.</w:t>
      </w:r>
      <w:r w:rsidR="008B7365">
        <w:rPr>
          <w:rFonts w:ascii="Arial" w:hAnsi="Arial"/>
        </w:rPr>
        <w:t xml:space="preserve"> </w:t>
      </w:r>
      <w:r w:rsidR="00274416">
        <w:rPr>
          <w:rFonts w:ascii="Arial" w:hAnsi="Arial"/>
        </w:rPr>
        <w:t xml:space="preserve">Finally, we note </w:t>
      </w:r>
      <w:r w:rsidR="0028697C">
        <w:rPr>
          <w:rFonts w:ascii="Arial" w:hAnsi="Arial"/>
        </w:rPr>
        <w:t xml:space="preserve">an interplay between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8697C">
        <w:rPr>
          <w:rFonts w:ascii="Arial" w:hAnsi="Arial"/>
        </w:rPr>
        <w:t xml:space="preserve"> and the steady-state fraction of normal protein</w:t>
      </w:r>
      <w:r w:rsidR="00D43F16">
        <w:rPr>
          <w:rFonts w:ascii="Arial" w:hAnsi="Arial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D43F16">
        <w:rPr>
          <w:rFonts w:ascii="Arial" w:hAnsi="Arial"/>
        </w:rPr>
        <w:t>,</w:t>
      </w:r>
      <w:r w:rsidR="0028697C">
        <w:rPr>
          <w:rFonts w:ascii="Arial" w:hAnsi="Arial"/>
        </w:rPr>
        <w:t xml:space="preserve"> </w:t>
      </w:r>
      <w:r w:rsidR="00D43F16">
        <w:rPr>
          <w:rFonts w:ascii="Arial" w:hAnsi="Arial"/>
        </w:rPr>
        <w:t>in the system</w:t>
      </w:r>
    </w:p>
    <w:p w14:paraId="19DC1F62" w14:textId="77777777" w:rsidR="0028697C" w:rsidRDefault="0028697C" w:rsidP="0028697C">
      <w:pPr>
        <w:jc w:val="both"/>
        <w:rPr>
          <w:rFonts w:ascii="Arial" w:hAnsi="Arial"/>
        </w:rPr>
      </w:pPr>
    </w:p>
    <w:p w14:paraId="78ED2218" w14:textId="3E7FAD26" w:rsidR="0028697C" w:rsidRPr="00390E22" w:rsidRDefault="00B71FA0" w:rsidP="00D43F16">
      <w:pPr>
        <w:jc w:val="center"/>
        <w:rPr>
          <w:rFonts w:ascii="Arial" w:hAnsi="Ari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μ+γ(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-1)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μ+γ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2αβγ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1B4D6C37" w14:textId="77777777" w:rsidR="007C447F" w:rsidRDefault="007C447F" w:rsidP="007C447F">
      <w:pPr>
        <w:rPr>
          <w:rFonts w:ascii="Arial" w:hAnsi="Arial"/>
        </w:rPr>
      </w:pPr>
    </w:p>
    <w:p w14:paraId="043D4C41" w14:textId="272E7693" w:rsidR="007C447F" w:rsidRDefault="006102B5" w:rsidP="00274416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namely</w:t>
      </w:r>
      <w:proofErr w:type="gramEnd"/>
      <w:r w:rsidR="00E90E14">
        <w:rPr>
          <w:rFonts w:ascii="Arial" w:hAnsi="Arial"/>
        </w:rPr>
        <w:t>,</w:t>
      </w:r>
      <w:r w:rsidR="007C447F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ascii="Arial" w:hAnsi="Arial"/>
        </w:rPr>
        <w:t xml:space="preserve"> (Davis </w:t>
      </w:r>
      <w:r w:rsidR="0096206F">
        <w:rPr>
          <w:rFonts w:ascii="Arial" w:hAnsi="Arial"/>
        </w:rPr>
        <w:t>&amp;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Sindi</w:t>
      </w:r>
      <w:proofErr w:type="spellEnd"/>
      <w:r>
        <w:rPr>
          <w:rFonts w:ascii="Arial" w:hAnsi="Arial"/>
        </w:rPr>
        <w:t>, 2015)</w:t>
      </w:r>
      <w:r w:rsidR="00E90E14">
        <w:rPr>
          <w:rFonts w:ascii="Arial" w:hAnsi="Arial"/>
        </w:rPr>
        <w:t xml:space="preserve">. </w:t>
      </w:r>
      <w:r w:rsidR="00274416">
        <w:rPr>
          <w:rFonts w:ascii="Arial" w:hAnsi="Arial"/>
        </w:rPr>
        <w:t xml:space="preserve"> This behavior between the fraction of normal (i.e. healthy) protein remaining at </w:t>
      </w:r>
      <w:proofErr w:type="gramStart"/>
      <w:r w:rsidR="00274416">
        <w:rPr>
          <w:rFonts w:ascii="Arial" w:hAnsi="Arial"/>
        </w:rPr>
        <w:t>steady-state</w:t>
      </w:r>
      <w:proofErr w:type="gramEnd"/>
      <w:r w:rsidR="00274416">
        <w:rPr>
          <w:rFonts w:ascii="Arial" w:hAnsi="Arial"/>
        </w:rPr>
        <w:t xml:space="preserve"> and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74416">
        <w:rPr>
          <w:rFonts w:ascii="Arial" w:hAnsi="Arial"/>
        </w:rPr>
        <w:t xml:space="preserve"> has been previously reported for </w:t>
      </w:r>
      <w:r w:rsidR="00327A6B">
        <w:rPr>
          <w:rFonts w:ascii="Arial" w:hAnsi="Arial"/>
        </w:rPr>
        <w:t>the classic SIR</w:t>
      </w:r>
      <w:r w:rsidR="00274416">
        <w:rPr>
          <w:rFonts w:ascii="Arial" w:hAnsi="Arial"/>
        </w:rPr>
        <w:t xml:space="preserve"> epidemic models</w:t>
      </w:r>
      <w:r w:rsidR="0096206F">
        <w:rPr>
          <w:rFonts w:ascii="Arial" w:hAnsi="Arial"/>
        </w:rPr>
        <w:t xml:space="preserve"> (</w:t>
      </w:r>
      <w:proofErr w:type="spellStart"/>
      <w:r w:rsidR="0096206F">
        <w:rPr>
          <w:rFonts w:ascii="Arial" w:hAnsi="Arial"/>
        </w:rPr>
        <w:t>Brauer</w:t>
      </w:r>
      <w:proofErr w:type="spellEnd"/>
      <w:r w:rsidR="0096206F">
        <w:rPr>
          <w:rFonts w:ascii="Arial" w:hAnsi="Arial"/>
        </w:rPr>
        <w:t xml:space="preserve"> &amp; Castillo-Chavez, 2001).</w:t>
      </w:r>
    </w:p>
    <w:p w14:paraId="59E4BF28" w14:textId="77777777" w:rsidR="00387CF9" w:rsidRDefault="00387CF9" w:rsidP="007C447F">
      <w:pPr>
        <w:rPr>
          <w:rFonts w:ascii="Arial" w:hAnsi="Arial"/>
        </w:rPr>
      </w:pPr>
    </w:p>
    <w:p w14:paraId="3786420A" w14:textId="5E7DD159" w:rsidR="00387CF9" w:rsidRDefault="00387CF9" w:rsidP="00387C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Because the prion strains under consideration do not differ in the rate of dilution, synthesis, minimum stable aggregate size or conversion, we are able to interpret differences in </w:t>
      </w:r>
      <w:r w:rsidR="008447EB">
        <w:rPr>
          <w:rFonts w:ascii="Arial" w:hAnsi="Arial"/>
        </w:rPr>
        <w:t xml:space="preserve">the steady-state fraction of soluble protein and the rate of aggregate amplification (that we understand to be </w:t>
      </w:r>
      <w:r w:rsidR="00FB5C22">
        <w:rPr>
          <w:rFonts w:ascii="Arial" w:hAnsi="Arial"/>
        </w:rPr>
        <w:t>related to the</w:t>
      </w:r>
      <w:r w:rsidR="008447EB">
        <w:rPr>
          <w:rFonts w:ascii="Arial" w:hAnsi="Arial"/>
        </w:rPr>
        <w:t xml:space="preserve"> </w:t>
      </w:r>
      <w:r w:rsidR="00FB5C22">
        <w:rPr>
          <w:rFonts w:ascii="Arial" w:hAnsi="Arial"/>
        </w:rPr>
        <w:t xml:space="preserve">above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447EB">
        <w:rPr>
          <w:rFonts w:ascii="Arial" w:hAnsi="Arial"/>
        </w:rPr>
        <w:t xml:space="preserve"> value) to be due to differences in the rate of fragmentation alone.</w:t>
      </w:r>
    </w:p>
    <w:p w14:paraId="1BD53EE4" w14:textId="77777777" w:rsidR="00FB5C22" w:rsidRDefault="00FB5C22" w:rsidP="00387CF9">
      <w:pPr>
        <w:jc w:val="both"/>
        <w:rPr>
          <w:rFonts w:ascii="Arial" w:hAnsi="Arial"/>
        </w:rPr>
      </w:pPr>
    </w:p>
    <w:p w14:paraId="66C3A260" w14:textId="5391AD2E" w:rsidR="00FB5C22" w:rsidRPr="00390E22" w:rsidRDefault="00FB5C22" w:rsidP="00FB5C22">
      <w:pPr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Rate of Aggregate Amplification</w:t>
      </w:r>
      <w:r w:rsidR="00081C71">
        <w:rPr>
          <w:rFonts w:ascii="Arial" w:hAnsi="Arial"/>
          <w:b/>
        </w:rPr>
        <w:t>:</w:t>
      </w:r>
    </w:p>
    <w:p w14:paraId="39894781" w14:textId="4275F5FD" w:rsidR="00D342A5" w:rsidRDefault="00146B52" w:rsidP="00387C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To demonstrate the relationship between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Arial" w:hAnsi="Arial"/>
        </w:rPr>
        <w:t xml:space="preserve"> value and the initial rate of aggregate amplification, we will analyze the behavior of the system very close to the disease-free steady state</w:t>
      </w:r>
      <w:r w:rsidR="00D342A5">
        <w:rPr>
          <w:rFonts w:ascii="Arial" w:hAnsi="Arial"/>
        </w:rPr>
        <w:t xml:space="preserve">. For simplicity, we assume that the total concentration of Sup35 is at its steady state value of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μ</m:t>
            </m:r>
          </m:den>
        </m:f>
      </m:oMath>
      <w:r w:rsidR="00D342A5">
        <w:rPr>
          <w:rFonts w:ascii="Arial" w:hAnsi="Arial"/>
        </w:rPr>
        <w:t>. This means throughout all time we have:</w:t>
      </w:r>
    </w:p>
    <w:p w14:paraId="38230B21" w14:textId="51E60DB6" w:rsidR="00D342A5" w:rsidRPr="00D342A5" w:rsidRDefault="00D342A5" w:rsidP="00D342A5">
      <w:pPr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01A8E15A" w14:textId="77777777" w:rsidR="00D342A5" w:rsidRDefault="00D342A5" w:rsidP="00D342A5">
      <w:pPr>
        <w:jc w:val="center"/>
        <w:rPr>
          <w:rFonts w:ascii="Arial" w:hAnsi="Arial"/>
        </w:rPr>
      </w:pPr>
    </w:p>
    <w:p w14:paraId="67264B2E" w14:textId="426AD276" w:rsidR="00D342A5" w:rsidRDefault="00D342A5" w:rsidP="00D342A5">
      <w:pPr>
        <w:rPr>
          <w:rFonts w:ascii="Arial" w:hAnsi="Arial"/>
        </w:rPr>
      </w:pPr>
      <w:r>
        <w:rPr>
          <w:rFonts w:ascii="Arial" w:hAnsi="Arial"/>
        </w:rPr>
        <w:t xml:space="preserve">This conservation will allow us to remove the variable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Arial" w:hAnsi="Arial"/>
        </w:rPr>
        <w:t xml:space="preserve">, since it can always be determined from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Arial" w:hAnsi="Arial"/>
        </w:rPr>
        <w:t>. As such our system of 3 ODEs is equivalent to the following system:</w:t>
      </w:r>
    </w:p>
    <w:p w14:paraId="1DC5F3F1" w14:textId="77777777" w:rsidR="00D342A5" w:rsidRPr="00D342A5" w:rsidRDefault="00B71FA0" w:rsidP="00D342A5">
      <w:pPr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=α-μx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-2βx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 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1CB7596C" w14:textId="46221D4C" w:rsidR="00D342A5" w:rsidRDefault="00B71FA0" w:rsidP="00D342A5">
      <w:pPr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μ+γ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+γ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</w:rPr>
                    <m:t>μ</m:t>
                  </m:r>
                </m:den>
              </m:f>
              <m:r>
                <w:rPr>
                  <w:rFonts w:ascii="Cambria Math" w:hAnsi="Cambria Math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08B9735E" w14:textId="1718D3C2" w:rsidR="00982572" w:rsidRDefault="00D342A5" w:rsidP="00D342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rate of amplification of aggregates upon the introduction of a small amount of prion/aggregated protein is governed by the eigenvalues of the </w:t>
      </w:r>
      <w:proofErr w:type="spellStart"/>
      <w:r>
        <w:rPr>
          <w:rFonts w:ascii="Arial" w:hAnsi="Arial"/>
        </w:rPr>
        <w:t>Jacobian</w:t>
      </w:r>
      <w:proofErr w:type="spellEnd"/>
      <w:r>
        <w:rPr>
          <w:rFonts w:ascii="Arial" w:hAnsi="Arial"/>
        </w:rPr>
        <w:t xml:space="preserve"> of the system evaluated at the disease-free steady-state</w:t>
      </w:r>
      <w:r w:rsidR="00146B52">
        <w:rPr>
          <w:rFonts w:ascii="Arial" w:hAnsi="Aria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>,Y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e>
        </m:d>
        <m:r>
          <w:rPr>
            <w:rFonts w:ascii="Cambria Math" w:hAnsi="Cambria Math"/>
          </w:rPr>
          <m:t>=(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μ</m:t>
            </m:r>
          </m:den>
        </m:f>
        <w:proofErr w:type="gramStart"/>
        <m:r>
          <w:rPr>
            <w:rFonts w:ascii="Cambria Math" w:hAnsi="Cambria Math"/>
          </w:rPr>
          <m:t>,0</m:t>
        </m:r>
        <w:proofErr w:type="gramEnd"/>
        <m:r>
          <w:rPr>
            <w:rFonts w:ascii="Cambria Math" w:hAnsi="Cambria Math"/>
          </w:rPr>
          <m:t>)</m:t>
        </m:r>
      </m:oMath>
      <w:r w:rsidR="001C6786">
        <w:rPr>
          <w:rFonts w:ascii="Arial" w:hAnsi="Arial"/>
        </w:rPr>
        <w:t>:</w:t>
      </w:r>
    </w:p>
    <w:p w14:paraId="4D8B9724" w14:textId="69B777AE" w:rsidR="00982572" w:rsidRDefault="008A04F0" w:rsidP="00982572">
      <w:pPr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-μ-2βY</m:t>
                  </m:r>
                </m:e>
                <m:e>
                  <m:r>
                    <w:rPr>
                      <w:rFonts w:ascii="Cambria Math" w:hAnsi="Cambria Math"/>
                    </w:rPr>
                    <m:t>-2βx+ 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-γ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μ+γ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</m:mr>
            </m:m>
          </m:e>
        </m:d>
      </m:oMath>
      <w:r>
        <w:rPr>
          <w:rFonts w:ascii="Arial" w:hAnsi="Arial"/>
        </w:rPr>
        <w:t>.</w:t>
      </w:r>
    </w:p>
    <w:p w14:paraId="548EB921" w14:textId="77777777" w:rsidR="001C6786" w:rsidRDefault="001C6786" w:rsidP="00982572">
      <w:pPr>
        <w:jc w:val="center"/>
        <w:rPr>
          <w:rFonts w:ascii="Arial" w:hAnsi="Arial"/>
        </w:rPr>
      </w:pPr>
    </w:p>
    <w:p w14:paraId="52BD71B3" w14:textId="2E80799E" w:rsidR="001C6786" w:rsidRDefault="001C6786" w:rsidP="001C6786">
      <w:pPr>
        <w:rPr>
          <w:rFonts w:ascii="Arial" w:hAnsi="Arial"/>
        </w:rPr>
      </w:pPr>
      <w:r>
        <w:rPr>
          <w:rFonts w:ascii="Arial" w:hAnsi="Arial"/>
        </w:rPr>
        <w:t xml:space="preserve">When we evaluate the </w:t>
      </w:r>
      <w:proofErr w:type="spellStart"/>
      <w:r>
        <w:rPr>
          <w:rFonts w:ascii="Arial" w:hAnsi="Arial"/>
        </w:rPr>
        <w:t>Jacobian</w:t>
      </w:r>
      <w:proofErr w:type="spellEnd"/>
      <w:r>
        <w:rPr>
          <w:rFonts w:ascii="Arial" w:hAnsi="Arial"/>
        </w:rPr>
        <w:t xml:space="preserve"> at the point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>,Y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e>
        </m:d>
        <m:r>
          <w:rPr>
            <w:rFonts w:ascii="Cambria Math" w:hAnsi="Cambria Math"/>
          </w:rPr>
          <m:t>=(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μ</m:t>
            </m:r>
          </m:den>
        </m:f>
        <w:proofErr w:type="gramStart"/>
        <m:r>
          <w:rPr>
            <w:rFonts w:ascii="Cambria Math" w:hAnsi="Cambria Math"/>
          </w:rPr>
          <m:t>,0</m:t>
        </m:r>
        <w:proofErr w:type="gramEnd"/>
        <m:r>
          <w:rPr>
            <w:rFonts w:ascii="Cambria Math" w:hAnsi="Cambria Math"/>
          </w:rPr>
          <m:t>)</m:t>
        </m:r>
      </m:oMath>
      <w:r>
        <w:rPr>
          <w:rFonts w:ascii="Arial" w:hAnsi="Arial"/>
        </w:rPr>
        <w:t xml:space="preserve"> we have the matrix:</w:t>
      </w:r>
    </w:p>
    <w:p w14:paraId="213F1312" w14:textId="537B76F8" w:rsidR="001C6786" w:rsidRDefault="001C6786" w:rsidP="001C6786">
      <w:pPr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μ</m:t>
                </m:r>
              </m:den>
            </m:f>
            <m:r>
              <w:rPr>
                <w:rFonts w:ascii="Cambria Math" w:hAnsi="Cambria Math"/>
              </w:rPr>
              <m:t>,0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-μ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2βα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μ</m:t>
                      </m:r>
                    </m:den>
                  </m:f>
                  <m:r>
                    <w:rPr>
                      <w:rFonts w:ascii="Cambria Math" w:hAnsi="Cambria Math"/>
                    </w:rPr>
                    <m:t>+ 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-γ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μ+γ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</m:mr>
            </m:m>
          </m:e>
        </m:d>
      </m:oMath>
      <w:r>
        <w:rPr>
          <w:rFonts w:ascii="Arial" w:hAnsi="Arial"/>
        </w:rPr>
        <w:t>.</w:t>
      </w:r>
    </w:p>
    <w:p w14:paraId="7E9591E1" w14:textId="77777777" w:rsidR="001C6786" w:rsidRDefault="001C6786" w:rsidP="001C6786">
      <w:pPr>
        <w:jc w:val="center"/>
        <w:rPr>
          <w:rFonts w:ascii="Arial" w:hAnsi="Arial"/>
        </w:rPr>
      </w:pPr>
    </w:p>
    <w:p w14:paraId="4B0A63AB" w14:textId="427181F4" w:rsidR="001C6786" w:rsidRDefault="001C6786" w:rsidP="001C6786">
      <w:pPr>
        <w:rPr>
          <w:rFonts w:ascii="Arial" w:hAnsi="Arial"/>
        </w:rPr>
      </w:pPr>
      <w:r>
        <w:rPr>
          <w:rFonts w:ascii="Arial" w:hAnsi="Arial"/>
        </w:rPr>
        <w:t>The eigenvalues of this matrix are solutions to the characteristic equation and are given by</w:t>
      </w:r>
    </w:p>
    <w:p w14:paraId="7FFF37A9" w14:textId="2355BD7D" w:rsidR="001C6786" w:rsidRPr="001C6786" w:rsidRDefault="00B71FA0" w:rsidP="001C6786">
      <w:pPr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γ-2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n0</m:t>
              </m:r>
              <m:r>
                <w:rPr>
                  <w:rFonts w:ascii="Cambria Math" w:hAnsi="Cambria Math"/>
                </w:rPr>
                <m:t>γ-2μ±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rad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8αβ+γμ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2B533A21" w14:textId="77777777" w:rsidR="001C6786" w:rsidRDefault="001C6786" w:rsidP="001C6786">
      <w:pPr>
        <w:rPr>
          <w:rFonts w:ascii="Arial" w:hAnsi="Arial"/>
        </w:rPr>
      </w:pPr>
    </w:p>
    <w:p w14:paraId="56F5445B" w14:textId="6301A326" w:rsidR="00832B7E" w:rsidRDefault="001C6786" w:rsidP="00387C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note that the condition requiring that one of the eigenvalues is positive, and thus that there is an attracting steady-state where prion aggregate persist, is equivalent to the condition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&gt;1.</m:t>
        </m:r>
      </m:oMath>
      <w:r>
        <w:rPr>
          <w:rFonts w:ascii="Arial" w:hAnsi="Arial"/>
        </w:rPr>
        <w:t xml:space="preserve"> Further, this positive eigenvalue </w:t>
      </w:r>
      <w:r w:rsidR="00170ED6">
        <w:rPr>
          <w:rFonts w:ascii="Arial" w:hAnsi="Arial"/>
        </w:rPr>
        <w:t xml:space="preserve">is precisely the rate of aggregate amplification. We note that this eigenvalue can be written as a function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</w:p>
    <w:p w14:paraId="5EF40AF0" w14:textId="77777777" w:rsidR="0054349B" w:rsidRDefault="0054349B" w:rsidP="00387CF9">
      <w:pPr>
        <w:jc w:val="both"/>
        <w:rPr>
          <w:rFonts w:ascii="Arial" w:hAnsi="Arial"/>
        </w:rPr>
      </w:pPr>
    </w:p>
    <w:p w14:paraId="53546F6E" w14:textId="1014392F" w:rsidR="0054349B" w:rsidRDefault="002570C4" w:rsidP="002570C4">
      <w:pPr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λ=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γμ+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γ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+μ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γ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17921ECE" w14:textId="77777777" w:rsidR="0028491C" w:rsidRDefault="0028491C" w:rsidP="00387CF9">
      <w:pPr>
        <w:jc w:val="both"/>
        <w:rPr>
          <w:rFonts w:ascii="Arial" w:hAnsi="Arial"/>
          <w:b/>
        </w:rPr>
      </w:pPr>
    </w:p>
    <w:p w14:paraId="71C8C8C4" w14:textId="7765FAC7" w:rsidR="004D077D" w:rsidRPr="004D077D" w:rsidRDefault="004D077D" w:rsidP="0028491C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When the value of </w:t>
      </w:r>
      <m:oMath>
        <m:r>
          <w:rPr>
            <w:rFonts w:ascii="Cambria Math" w:hAnsi="Cambria Math"/>
          </w:rPr>
          <m:t>γ≪1</m:t>
        </m:r>
      </m:oMath>
      <w:r w:rsidR="001A2ED2">
        <w:rPr>
          <w:rFonts w:ascii="Arial" w:hAnsi="Arial"/>
        </w:rPr>
        <w:t xml:space="preserve"> (i.e., fragmentation rate is small), we have a useful approximation:</w:t>
      </w:r>
    </w:p>
    <w:p w14:paraId="3ECAED08" w14:textId="6FFCFA83" w:rsidR="004D077D" w:rsidRDefault="001A2ED2" w:rsidP="001A2ED2">
      <w:pPr>
        <w:ind w:left="720" w:hanging="720"/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λ≈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rad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μ</m:t>
        </m:r>
      </m:oMath>
      <w:r>
        <w:rPr>
          <w:rFonts w:ascii="Arial" w:hAnsi="Arial"/>
        </w:rPr>
        <w:t>.</w:t>
      </w:r>
    </w:p>
    <w:p w14:paraId="3B6E89C2" w14:textId="77777777" w:rsidR="001A2ED2" w:rsidRDefault="001A2ED2" w:rsidP="001A2ED2">
      <w:pPr>
        <w:ind w:left="720" w:hanging="720"/>
        <w:jc w:val="center"/>
        <w:rPr>
          <w:rFonts w:ascii="Arial" w:hAnsi="Arial"/>
          <w:b/>
        </w:rPr>
      </w:pPr>
    </w:p>
    <w:p w14:paraId="5F4C5C34" w14:textId="11C66876" w:rsidR="0085487C" w:rsidRDefault="0085487C" w:rsidP="00692021">
      <w:pPr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Comparison to Previous Analyses:</w:t>
      </w:r>
    </w:p>
    <w:p w14:paraId="3513CB43" w14:textId="079E2E16" w:rsidR="0028491C" w:rsidRDefault="0085487C" w:rsidP="00387C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Previously, Tanaka et al. (2006) compared the rate of </w:t>
      </w:r>
      <w:r w:rsidR="00692021">
        <w:rPr>
          <w:rFonts w:ascii="Arial" w:hAnsi="Arial"/>
        </w:rPr>
        <w:t>aggregate</w:t>
      </w:r>
      <w:r>
        <w:rPr>
          <w:rFonts w:ascii="Arial" w:hAnsi="Arial"/>
        </w:rPr>
        <w:t xml:space="preserve"> amplification </w:t>
      </w:r>
      <w:r w:rsidR="00F86955">
        <w:rPr>
          <w:rFonts w:ascii="Arial" w:hAnsi="Arial"/>
        </w:rPr>
        <w:t xml:space="preserve">upon recovery from </w:t>
      </w:r>
      <w:proofErr w:type="spellStart"/>
      <w:r w:rsidR="00F86955">
        <w:rPr>
          <w:rFonts w:ascii="Arial" w:hAnsi="Arial"/>
        </w:rPr>
        <w:t>GdnHCl</w:t>
      </w:r>
      <w:proofErr w:type="spellEnd"/>
      <w:r>
        <w:rPr>
          <w:rFonts w:ascii="Arial" w:hAnsi="Arial"/>
        </w:rPr>
        <w:t xml:space="preserve">. However, we note some differences between their observations and </w:t>
      </w:r>
      <w:r w:rsidR="00F83CA1">
        <w:rPr>
          <w:rFonts w:ascii="Arial" w:hAnsi="Arial"/>
        </w:rPr>
        <w:t xml:space="preserve">this mathematical analysis of </w:t>
      </w:r>
      <w:r w:rsidR="004E7169">
        <w:rPr>
          <w:rFonts w:ascii="Arial" w:hAnsi="Arial"/>
        </w:rPr>
        <w:t>the rate of aggregate amplification.</w:t>
      </w:r>
    </w:p>
    <w:p w14:paraId="412C4CA2" w14:textId="77777777" w:rsidR="004E7169" w:rsidRDefault="004E7169" w:rsidP="00387CF9">
      <w:pPr>
        <w:jc w:val="both"/>
        <w:rPr>
          <w:rFonts w:ascii="Arial" w:hAnsi="Arial"/>
        </w:rPr>
      </w:pPr>
    </w:p>
    <w:p w14:paraId="22FBB975" w14:textId="77777777" w:rsidR="003F184E" w:rsidRDefault="004E7169" w:rsidP="00387C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First, Tanaka et al. (2006) did not consider that aggregates smaller than the critical size,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Arial" w:hAnsi="Arial"/>
        </w:rPr>
        <w:t>, to re-enter the soluble pool. This could be considered equivalent to assuming that either the fragmentation rate was very small (</w:t>
      </w:r>
      <m:oMath>
        <m:r>
          <w:rPr>
            <w:rFonts w:ascii="Cambria Math" w:hAnsi="Cambria Math"/>
          </w:rPr>
          <m:t>γ≪1</m:t>
        </m:r>
      </m:oMath>
      <w:r>
        <w:rPr>
          <w:rFonts w:ascii="Arial" w:hAnsi="Arial"/>
        </w:rPr>
        <w:t xml:space="preserve">) or that aggregates had minimal size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ascii="Arial" w:hAnsi="Arial"/>
        </w:rPr>
        <w:t xml:space="preserve">. Second, we note that their differential equation model assumed that aggregate fragmentation occurred as a rate proportional to the total aggregated protein,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Arial" w:hAnsi="Arial"/>
        </w:rPr>
        <w:t xml:space="preserve">, rather than total number of fragmentation sites,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w:proofErr w:type="gramStart"/>
        <m:r>
          <w:rPr>
            <w:rFonts w:ascii="Cambria Math" w:hAnsi="Cambria Math"/>
          </w:rPr>
          <m:t>-Y(</m:t>
        </m:r>
        <w:proofErr w:type="gramEnd"/>
        <m:r>
          <w:rPr>
            <w:rFonts w:ascii="Cambria Math" w:hAnsi="Cambria Math"/>
          </w:rPr>
          <m:t>t)</m:t>
        </m:r>
      </m:oMath>
      <w:r>
        <w:rPr>
          <w:rFonts w:ascii="Arial" w:hAnsi="Arial"/>
        </w:rPr>
        <w:t>.</w:t>
      </w:r>
      <w:r w:rsidR="00F546F6">
        <w:rPr>
          <w:rFonts w:ascii="Arial" w:hAnsi="Arial"/>
        </w:rPr>
        <w:t xml:space="preserve"> </w:t>
      </w:r>
    </w:p>
    <w:p w14:paraId="4AE39F6E" w14:textId="77777777" w:rsidR="003F184E" w:rsidRDefault="003F184E" w:rsidP="00387CF9">
      <w:pPr>
        <w:jc w:val="both"/>
        <w:rPr>
          <w:rFonts w:ascii="Arial" w:hAnsi="Arial"/>
        </w:rPr>
      </w:pPr>
    </w:p>
    <w:p w14:paraId="2BD1412C" w14:textId="1B810EDA" w:rsidR="0085487C" w:rsidRPr="001A2ED2" w:rsidRDefault="003F184E" w:rsidP="00286A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Despite the </w:t>
      </w:r>
      <w:r w:rsidR="00F83CA1">
        <w:rPr>
          <w:rFonts w:ascii="Arial" w:hAnsi="Arial"/>
        </w:rPr>
        <w:t xml:space="preserve">technical issues with </w:t>
      </w:r>
      <w:r>
        <w:rPr>
          <w:rFonts w:ascii="Arial" w:hAnsi="Arial"/>
        </w:rPr>
        <w:t>their</w:t>
      </w:r>
      <w:r w:rsidR="00F83CA1">
        <w:rPr>
          <w:rFonts w:ascii="Arial" w:hAnsi="Arial"/>
        </w:rPr>
        <w:t xml:space="preserve"> model, </w:t>
      </w:r>
      <w:r>
        <w:rPr>
          <w:rFonts w:ascii="Arial" w:hAnsi="Arial"/>
        </w:rPr>
        <w:t xml:space="preserve">because </w:t>
      </w:r>
      <w:r w:rsidR="00F83CA1">
        <w:rPr>
          <w:rFonts w:ascii="Arial" w:hAnsi="Arial"/>
        </w:rPr>
        <w:t xml:space="preserve">they </w:t>
      </w:r>
      <w:r>
        <w:rPr>
          <w:rFonts w:ascii="Arial" w:hAnsi="Arial"/>
        </w:rPr>
        <w:t xml:space="preserve">considered </w:t>
      </w:r>
      <m:oMath>
        <m:r>
          <w:rPr>
            <w:rFonts w:ascii="Cambria Math" w:hAnsi="Cambria Math"/>
          </w:rPr>
          <m:t>γ≪1</m:t>
        </m:r>
      </m:oMath>
      <w:r>
        <w:rPr>
          <w:rFonts w:ascii="Arial" w:hAnsi="Arial"/>
        </w:rPr>
        <w:t xml:space="preserve"> they correctly concluded that </w:t>
      </w:r>
      <w:r w:rsidR="00F83CA1">
        <w:rPr>
          <w:rFonts w:ascii="Arial" w:hAnsi="Arial"/>
        </w:rPr>
        <w:t xml:space="preserve">simply a function of the product of </w:t>
      </w:r>
      <m:oMath>
        <m:r>
          <w:rPr>
            <w:rFonts w:ascii="Cambria Math" w:hAnsi="Cambria Math"/>
          </w:rPr>
          <m:t>βγ</m:t>
        </m:r>
      </m:oMath>
      <w:r>
        <w:rPr>
          <w:rFonts w:ascii="Arial" w:hAnsi="Arial"/>
        </w:rPr>
        <w:t>. (We note that 2</w:t>
      </w:r>
      <m:oMath>
        <m:r>
          <w:rPr>
            <w:rFonts w:ascii="Cambria Math" w:hAnsi="Cambria Math"/>
          </w:rPr>
          <m:t>β</m:t>
        </m:r>
      </m:oMath>
      <w:r>
        <w:rPr>
          <w:rFonts w:ascii="Arial" w:hAnsi="Arial"/>
        </w:rPr>
        <w:t xml:space="preserve"> in our model is equivalent to their </w:t>
      </w:r>
      <m:oMath>
        <m:r>
          <w:rPr>
            <w:rFonts w:ascii="Cambria Math" w:hAnsi="Cambria Math"/>
          </w:rPr>
          <m:t>β</m:t>
        </m:r>
      </m:oMath>
      <w:r w:rsidR="0095275E">
        <w:rPr>
          <w:rFonts w:ascii="Arial" w:hAnsi="Arial"/>
        </w:rPr>
        <w:t xml:space="preserve"> because we explicitly consider each end of an aggregate as a site for conversion.</w:t>
      </w:r>
      <w:r>
        <w:rPr>
          <w:rFonts w:ascii="Arial" w:hAnsi="Arial"/>
        </w:rPr>
        <w:t>)</w:t>
      </w:r>
      <w:r w:rsidR="00286A53">
        <w:rPr>
          <w:rFonts w:ascii="Arial" w:hAnsi="Arial"/>
        </w:rPr>
        <w:t xml:space="preserve"> Because</w:t>
      </w:r>
      <w:r w:rsidR="0085487C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5487C">
        <w:rPr>
          <w:rFonts w:ascii="Arial" w:hAnsi="Arial"/>
        </w:rPr>
        <w:t xml:space="preserve"> itself is </w:t>
      </w:r>
      <w:r w:rsidR="00286A53">
        <w:rPr>
          <w:rFonts w:ascii="Arial" w:hAnsi="Arial"/>
        </w:rPr>
        <w:t>specified as follows</w:t>
      </w:r>
      <w:r w:rsidR="0085487C">
        <w:rPr>
          <w:rFonts w:ascii="Arial" w:hAnsi="Arial"/>
        </w:rPr>
        <w:t>:</w:t>
      </w:r>
    </w:p>
    <w:p w14:paraId="15BDF74C" w14:textId="41EC97E0" w:rsidR="0085487C" w:rsidRPr="00286A53" w:rsidRDefault="00B71FA0" w:rsidP="00E4091A">
      <w:pPr>
        <w:ind w:left="720" w:hanging="720"/>
        <w:jc w:val="center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2αβγ</m:t>
            </m:r>
          </m:num>
          <m:den>
            <m:r>
              <w:rPr>
                <w:rFonts w:ascii="Cambria Math" w:hAnsi="Cambria Math"/>
              </w:rPr>
              <m:t>μ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μ+γ(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-1)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μ+γ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 xml:space="preserve"> ≈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2αβγ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E4091A">
        <w:rPr>
          <w:rFonts w:ascii="Arial" w:hAnsi="Arial"/>
        </w:rPr>
        <w:t>,</w:t>
      </w:r>
    </w:p>
    <w:p w14:paraId="6831A134" w14:textId="2C8B4ADC" w:rsidR="001E6DAE" w:rsidRDefault="001E6DAE" w:rsidP="00387CF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rate of aggregate amplification is approximately given by:</w:t>
      </w:r>
    </w:p>
    <w:p w14:paraId="584AC56D" w14:textId="4F60A61C" w:rsidR="00E15560" w:rsidRPr="00E15560" w:rsidRDefault="00E15560" w:rsidP="00E15560">
      <w:pPr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λ≈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ra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μ≈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2αβγ</m:t>
                  </m:r>
                </m:num>
                <m:den>
                  <m:r>
                    <w:rPr>
                      <w:rFonts w:ascii="Cambria Math" w:hAnsi="Cambria Math"/>
                    </w:rPr>
                    <m:t>μ</m:t>
                  </m:r>
                </m:den>
              </m:f>
            </m:e>
          </m:rad>
          <m:r>
            <w:rPr>
              <w:rFonts w:ascii="Cambria Math" w:hAnsi="Cambria Math"/>
            </w:rPr>
            <m:t>-μ.</m:t>
          </m:r>
        </m:oMath>
      </m:oMathPara>
    </w:p>
    <w:p w14:paraId="798ABDCC" w14:textId="77777777" w:rsidR="00134F65" w:rsidRDefault="00134F65" w:rsidP="00387CF9">
      <w:pPr>
        <w:jc w:val="both"/>
        <w:rPr>
          <w:rFonts w:ascii="Arial" w:hAnsi="Arial"/>
        </w:rPr>
      </w:pPr>
    </w:p>
    <w:p w14:paraId="12E1EDB2" w14:textId="35E53F63" w:rsidR="00134F65" w:rsidRDefault="00134F65" w:rsidP="00387C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Thus, </w:t>
      </w:r>
      <w:r w:rsidR="00E4091A">
        <w:rPr>
          <w:rFonts w:ascii="Arial" w:hAnsi="Arial"/>
        </w:rPr>
        <w:t>our more</w:t>
      </w:r>
      <w:r>
        <w:rPr>
          <w:rFonts w:ascii="Arial" w:hAnsi="Arial"/>
        </w:rPr>
        <w:t xml:space="preserve"> detailed analysis supports the </w:t>
      </w:r>
      <w:r w:rsidR="00484F5E">
        <w:rPr>
          <w:rFonts w:ascii="Arial" w:hAnsi="Arial"/>
        </w:rPr>
        <w:t>previous</w:t>
      </w:r>
      <w:r>
        <w:rPr>
          <w:rFonts w:ascii="Arial" w:hAnsi="Arial"/>
        </w:rPr>
        <w:t xml:space="preserve"> observations from Tanaka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al</w:t>
      </w:r>
      <w:proofErr w:type="gramEnd"/>
      <w:r>
        <w:rPr>
          <w:rFonts w:ascii="Arial" w:hAnsi="Arial"/>
        </w:rPr>
        <w:t xml:space="preserve">. (2006). Namely, </w:t>
      </w:r>
      <w:r w:rsidR="0095275E">
        <w:rPr>
          <w:rFonts w:ascii="Arial" w:hAnsi="Arial"/>
        </w:rPr>
        <w:t>when fixing the rate of protein synthesis, (</w:t>
      </w:r>
      <m:oMath>
        <m:r>
          <w:rPr>
            <w:rFonts w:ascii="Cambria Math" w:hAnsi="Cambria Math"/>
          </w:rPr>
          <m:t>α</m:t>
        </m:r>
      </m:oMath>
      <w:r w:rsidR="0095275E">
        <w:rPr>
          <w:rFonts w:ascii="Arial" w:hAnsi="Arial"/>
        </w:rPr>
        <w:t>), and dilution (</w:t>
      </w:r>
      <m:oMath>
        <m:r>
          <w:rPr>
            <w:rFonts w:ascii="Cambria Math" w:hAnsi="Cambria Math"/>
          </w:rPr>
          <m:t>μ</m:t>
        </m:r>
      </m:oMath>
      <w:r w:rsidR="0095275E">
        <w:rPr>
          <w:rFonts w:ascii="Arial" w:hAnsi="Arial"/>
        </w:rPr>
        <w:t xml:space="preserve">), </w:t>
      </w:r>
      <w:r>
        <w:rPr>
          <w:rFonts w:ascii="Arial" w:hAnsi="Arial"/>
        </w:rPr>
        <w:t xml:space="preserve">the product </w:t>
      </w:r>
      <m:oMath>
        <m:r>
          <w:rPr>
            <w:rFonts w:ascii="Cambria Math" w:hAnsi="Cambria Math"/>
          </w:rPr>
          <m:t>βγ</m:t>
        </m:r>
      </m:oMath>
      <w:r>
        <w:rPr>
          <w:rFonts w:ascii="Arial" w:hAnsi="Arial"/>
        </w:rPr>
        <w:t xml:space="preserve"> determines the aggregate amplification rate. </w:t>
      </w:r>
    </w:p>
    <w:p w14:paraId="69D9C4F5" w14:textId="77777777" w:rsidR="00BF63E8" w:rsidRDefault="00BF63E8" w:rsidP="00387CF9">
      <w:pPr>
        <w:jc w:val="both"/>
        <w:rPr>
          <w:rFonts w:ascii="Arial" w:hAnsi="Arial"/>
          <w:b/>
        </w:rPr>
      </w:pPr>
    </w:p>
    <w:p w14:paraId="0AA33433" w14:textId="338B7B8D" w:rsidR="00B97669" w:rsidRPr="00BF727D" w:rsidRDefault="00327A6B" w:rsidP="00B9766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Results</w:t>
      </w:r>
      <w:r w:rsidR="0028491C">
        <w:rPr>
          <w:rFonts w:ascii="Arial" w:hAnsi="Arial"/>
          <w:b/>
        </w:rPr>
        <w:t>:</w:t>
      </w:r>
      <w:r w:rsidR="00BF727D">
        <w:rPr>
          <w:rFonts w:ascii="Arial" w:hAnsi="Arial"/>
          <w:b/>
        </w:rPr>
        <w:t xml:space="preserve"> </w:t>
      </w:r>
      <w:r w:rsidR="00BF63E8">
        <w:rPr>
          <w:rFonts w:ascii="Arial" w:hAnsi="Arial"/>
        </w:rPr>
        <w:t xml:space="preserve">We first note statistically significant differences in </w:t>
      </w:r>
      <w:r w:rsidR="00DF3B5A">
        <w:rPr>
          <w:rFonts w:ascii="Arial" w:hAnsi="Arial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Arial" w:hAnsi="Arial"/>
        </w:rPr>
        <w:t xml:space="preserve"> </w:t>
      </w:r>
      <w:r w:rsidR="00BF63E8">
        <w:rPr>
          <w:rFonts w:ascii="Arial" w:hAnsi="Arial"/>
        </w:rPr>
        <w:t xml:space="preserve">values for each of the conditions studied. As mentioned above, we know that the steady-state concentration of Sup35 is the inverse of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F63E8">
        <w:rPr>
          <w:rFonts w:ascii="Arial" w:hAnsi="Arial"/>
        </w:rPr>
        <w:t xml:space="preserve"> value</w:t>
      </w:r>
      <w:r>
        <w:rPr>
          <w:rFonts w:ascii="Arial" w:hAnsi="Arial"/>
        </w:rPr>
        <w:t xml:space="preserve">. </w:t>
      </w:r>
      <w:r w:rsidR="00BF63E8">
        <w:rPr>
          <w:rFonts w:ascii="Arial" w:hAnsi="Arial"/>
        </w:rPr>
        <w:t xml:space="preserve">Thus, we have estimates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F63E8">
        <w:rPr>
          <w:rFonts w:ascii="Arial" w:hAnsi="Arial"/>
        </w:rPr>
        <w:t xml:space="preserve"> values </w:t>
      </w:r>
      <w:r w:rsidR="009454C7">
        <w:rPr>
          <w:rFonts w:ascii="Arial" w:hAnsi="Arial"/>
        </w:rPr>
        <w:t>for each condition</w:t>
      </w:r>
      <w:r w:rsidR="00BF63E8">
        <w:rPr>
          <w:rFonts w:ascii="Arial" w:hAnsi="Arial"/>
        </w:rPr>
        <w:t xml:space="preserve"> (See Figure 1). We compared</w:t>
      </w:r>
      <w:r w:rsidR="00E928B1">
        <w:rPr>
          <w:rFonts w:ascii="Arial" w:hAnsi="Arial"/>
        </w:rPr>
        <w:t xml:space="preserve"> these values </w:t>
      </w:r>
      <w:r w:rsidR="00BF63E8">
        <w:rPr>
          <w:rFonts w:ascii="Arial" w:hAnsi="Arial"/>
        </w:rPr>
        <w:t xml:space="preserve">between strains with a </w:t>
      </w:r>
      <w:proofErr w:type="gramStart"/>
      <w:r>
        <w:rPr>
          <w:rFonts w:ascii="Arial" w:hAnsi="Arial"/>
        </w:rPr>
        <w:t>2 sample</w:t>
      </w:r>
      <w:proofErr w:type="gramEnd"/>
      <w:r>
        <w:rPr>
          <w:rFonts w:ascii="Arial" w:hAnsi="Arial"/>
        </w:rPr>
        <w:t xml:space="preserve"> t-test </w:t>
      </w:r>
      <w:r w:rsidR="00BF63E8">
        <w:rPr>
          <w:rFonts w:ascii="Arial" w:hAnsi="Arial"/>
        </w:rPr>
        <w:t>(</w:t>
      </w:r>
      <w:proofErr w:type="spellStart"/>
      <w:r>
        <w:rPr>
          <w:rFonts w:ascii="Arial" w:hAnsi="Arial"/>
        </w:rPr>
        <w:t>Matlab</w:t>
      </w:r>
      <w:proofErr w:type="spellEnd"/>
      <w:r>
        <w:rPr>
          <w:rFonts w:ascii="Arial" w:hAnsi="Arial"/>
        </w:rPr>
        <w:t xml:space="preserve"> ttest2 function</w:t>
      </w:r>
      <w:r w:rsidR="00BF63E8">
        <w:rPr>
          <w:rFonts w:ascii="Arial" w:hAnsi="Arial"/>
        </w:rPr>
        <w:t>)</w:t>
      </w:r>
      <w:r>
        <w:rPr>
          <w:rFonts w:ascii="Arial" w:hAnsi="Arial"/>
        </w:rPr>
        <w:t xml:space="preserve">. P-values are given </w:t>
      </w:r>
      <w:r w:rsidR="00BF63E8">
        <w:rPr>
          <w:rFonts w:ascii="Arial" w:hAnsi="Arial"/>
        </w:rPr>
        <w:t xml:space="preserve">in Table </w:t>
      </w:r>
      <w:r w:rsidR="002B0135">
        <w:rPr>
          <w:rFonts w:ascii="Arial" w:hAnsi="Arial"/>
        </w:rPr>
        <w:t xml:space="preserve">1 </w:t>
      </w:r>
      <w:r w:rsidR="00E928B1">
        <w:rPr>
          <w:rFonts w:ascii="Arial" w:hAnsi="Arial"/>
        </w:rPr>
        <w:t xml:space="preserve">(Soluble Sup35) </w:t>
      </w:r>
      <w:r w:rsidR="002B0135">
        <w:rPr>
          <w:rFonts w:ascii="Arial" w:hAnsi="Arial"/>
        </w:rPr>
        <w:t xml:space="preserve">and Table </w:t>
      </w:r>
      <w:r w:rsidR="00BF63E8">
        <w:rPr>
          <w:rFonts w:ascii="Arial" w:hAnsi="Arial"/>
        </w:rPr>
        <w:t xml:space="preserve">2 </w:t>
      </w:r>
      <w:r w:rsidR="00E928B1">
        <w:rPr>
          <w:rFonts w:ascii="Arial" w:hAnsi="Arial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E928B1">
        <w:rPr>
          <w:rFonts w:ascii="Arial" w:hAnsi="Arial"/>
        </w:rPr>
        <w:t xml:space="preserve"> values) </w:t>
      </w:r>
      <w:r>
        <w:rPr>
          <w:rFonts w:ascii="Arial" w:hAnsi="Arial"/>
        </w:rPr>
        <w:t>for a significance level below 0.05 and an “</w:t>
      </w:r>
      <w:r w:rsidR="00CE6AB2">
        <w:rPr>
          <w:rFonts w:ascii="Arial" w:hAnsi="Arial"/>
        </w:rPr>
        <w:t>NA</w:t>
      </w:r>
      <w:r>
        <w:rPr>
          <w:rFonts w:ascii="Arial" w:hAnsi="Arial"/>
        </w:rPr>
        <w:t xml:space="preserve">”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shown when no significance is found.</w:t>
      </w:r>
      <w:r w:rsidR="00C66062">
        <w:rPr>
          <w:rFonts w:ascii="Arial" w:hAnsi="Arial"/>
        </w:rPr>
        <w:t xml:space="preserve"> </w:t>
      </w:r>
      <w:r w:rsidR="00B97669">
        <w:rPr>
          <w:rFonts w:ascii="Arial" w:hAnsi="Arial"/>
        </w:rPr>
        <w:t xml:space="preserve"> </w:t>
      </w:r>
    </w:p>
    <w:p w14:paraId="2E65F09E" w14:textId="77777777" w:rsidR="00C96CE7" w:rsidRPr="00237CA8" w:rsidRDefault="00C96CE7" w:rsidP="003E4168">
      <w:pPr>
        <w:jc w:val="both"/>
        <w:rPr>
          <w:rFonts w:ascii="Arial" w:hAnsi="Arial"/>
        </w:rPr>
      </w:pPr>
    </w:p>
    <w:p w14:paraId="20EDDB6A" w14:textId="4A0E8677" w:rsidR="006C4C36" w:rsidRDefault="00390E22" w:rsidP="00390E22">
      <w:pPr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  <w:r w:rsidR="008B7365">
        <w:rPr>
          <w:rFonts w:ascii="Arial" w:hAnsi="Arial"/>
          <w:b/>
        </w:rPr>
        <w:t>:</w:t>
      </w:r>
    </w:p>
    <w:p w14:paraId="372964D8" w14:textId="77777777" w:rsidR="008B7365" w:rsidRDefault="008B7365" w:rsidP="00390E22">
      <w:pPr>
        <w:rPr>
          <w:rFonts w:ascii="Arial" w:hAnsi="Arial"/>
          <w:b/>
        </w:rPr>
      </w:pPr>
    </w:p>
    <w:p w14:paraId="2A494E76" w14:textId="05AADC58" w:rsidR="008B7365" w:rsidRPr="008B7365" w:rsidRDefault="008B7365" w:rsidP="00390E22">
      <w:pPr>
        <w:rPr>
          <w:rFonts w:ascii="Arial" w:hAnsi="Arial"/>
        </w:rPr>
      </w:pPr>
      <w:proofErr w:type="spellStart"/>
      <w:proofErr w:type="gramStart"/>
      <w:r w:rsidRPr="008B7365">
        <w:rPr>
          <w:rFonts w:ascii="Arial" w:hAnsi="Arial"/>
        </w:rPr>
        <w:t>Brauer</w:t>
      </w:r>
      <w:proofErr w:type="spellEnd"/>
      <w:r w:rsidRPr="008B7365">
        <w:rPr>
          <w:rFonts w:ascii="Arial" w:hAnsi="Arial"/>
        </w:rPr>
        <w:t>, F., &amp; Castillo-Chavez, C. (2001).</w:t>
      </w:r>
      <w:proofErr w:type="gramEnd"/>
      <w:r w:rsidRPr="008B7365">
        <w:rPr>
          <w:rFonts w:ascii="Arial" w:hAnsi="Arial"/>
        </w:rPr>
        <w:t xml:space="preserve"> </w:t>
      </w:r>
      <w:proofErr w:type="gramStart"/>
      <w:r w:rsidRPr="008B7365">
        <w:rPr>
          <w:rFonts w:ascii="Arial" w:hAnsi="Arial"/>
          <w:i/>
          <w:iCs/>
        </w:rPr>
        <w:t>Mathematical models in population biology and epidemiology</w:t>
      </w:r>
      <w:r w:rsidRPr="008B7365">
        <w:rPr>
          <w:rFonts w:ascii="Arial" w:hAnsi="Arial"/>
        </w:rPr>
        <w:t xml:space="preserve"> (Vol. 40, pp. xxiv+-416).</w:t>
      </w:r>
      <w:proofErr w:type="gramEnd"/>
      <w:r w:rsidRPr="008B7365">
        <w:rPr>
          <w:rFonts w:ascii="Arial" w:hAnsi="Arial"/>
        </w:rPr>
        <w:t xml:space="preserve"> New York: Springer.</w:t>
      </w:r>
    </w:p>
    <w:p w14:paraId="3B215F4A" w14:textId="77777777" w:rsidR="000C2554" w:rsidRDefault="000C2554" w:rsidP="00390E22">
      <w:pPr>
        <w:rPr>
          <w:rFonts w:ascii="Arial" w:hAnsi="Arial"/>
        </w:rPr>
      </w:pPr>
    </w:p>
    <w:p w14:paraId="239991D0" w14:textId="77777777" w:rsidR="000C2554" w:rsidRPr="000C2554" w:rsidRDefault="000C2554" w:rsidP="000C2554">
      <w:pPr>
        <w:rPr>
          <w:rFonts w:ascii="Arial" w:hAnsi="Arial"/>
        </w:rPr>
      </w:pPr>
      <w:r w:rsidRPr="000C2554">
        <w:rPr>
          <w:rFonts w:ascii="Arial" w:hAnsi="Arial"/>
        </w:rPr>
        <w:t xml:space="preserve">Davis, J. K., &amp; </w:t>
      </w:r>
      <w:proofErr w:type="spellStart"/>
      <w:r w:rsidRPr="000C2554">
        <w:rPr>
          <w:rFonts w:ascii="Arial" w:hAnsi="Arial"/>
        </w:rPr>
        <w:t>Sindi</w:t>
      </w:r>
      <w:proofErr w:type="spellEnd"/>
      <w:r w:rsidRPr="000C2554">
        <w:rPr>
          <w:rFonts w:ascii="Arial" w:hAnsi="Arial"/>
        </w:rPr>
        <w:t xml:space="preserve">, S. S. (2015). A mathematical model of the dynamics of prion aggregates with chaperone-mediated fragmentation. </w:t>
      </w:r>
      <w:r w:rsidRPr="000C2554">
        <w:rPr>
          <w:rFonts w:ascii="Arial" w:hAnsi="Arial"/>
          <w:i/>
          <w:iCs/>
        </w:rPr>
        <w:t>Journal of mathematical biology</w:t>
      </w:r>
      <w:r w:rsidRPr="000C2554">
        <w:rPr>
          <w:rFonts w:ascii="Arial" w:hAnsi="Arial"/>
        </w:rPr>
        <w:t>, 1-24.</w:t>
      </w:r>
    </w:p>
    <w:p w14:paraId="0A516976" w14:textId="77777777" w:rsidR="000C2554" w:rsidRDefault="000C2554" w:rsidP="00390E22">
      <w:pPr>
        <w:rPr>
          <w:rFonts w:ascii="Arial" w:hAnsi="Arial"/>
        </w:rPr>
      </w:pPr>
    </w:p>
    <w:p w14:paraId="348ACABF" w14:textId="77777777" w:rsidR="000C2554" w:rsidRPr="000C2554" w:rsidRDefault="000C2554" w:rsidP="000C2554">
      <w:pPr>
        <w:rPr>
          <w:rFonts w:ascii="Arial" w:hAnsi="Arial"/>
        </w:rPr>
      </w:pPr>
      <w:proofErr w:type="spellStart"/>
      <w:r w:rsidRPr="000C2554">
        <w:rPr>
          <w:rFonts w:ascii="Arial" w:hAnsi="Arial"/>
        </w:rPr>
        <w:t>Derdowski</w:t>
      </w:r>
      <w:proofErr w:type="spellEnd"/>
      <w:r w:rsidRPr="000C2554">
        <w:rPr>
          <w:rFonts w:ascii="Arial" w:hAnsi="Arial"/>
        </w:rPr>
        <w:t xml:space="preserve">, A., </w:t>
      </w:r>
      <w:proofErr w:type="spellStart"/>
      <w:r w:rsidRPr="000C2554">
        <w:rPr>
          <w:rFonts w:ascii="Arial" w:hAnsi="Arial"/>
        </w:rPr>
        <w:t>Sindi</w:t>
      </w:r>
      <w:proofErr w:type="spellEnd"/>
      <w:r w:rsidRPr="000C2554">
        <w:rPr>
          <w:rFonts w:ascii="Arial" w:hAnsi="Arial"/>
        </w:rPr>
        <w:t xml:space="preserve">, S. S., </w:t>
      </w:r>
      <w:proofErr w:type="spellStart"/>
      <w:r w:rsidRPr="000C2554">
        <w:rPr>
          <w:rFonts w:ascii="Arial" w:hAnsi="Arial"/>
        </w:rPr>
        <w:t>Klaips</w:t>
      </w:r>
      <w:proofErr w:type="spellEnd"/>
      <w:r w:rsidRPr="000C2554">
        <w:rPr>
          <w:rFonts w:ascii="Arial" w:hAnsi="Arial"/>
        </w:rPr>
        <w:t xml:space="preserve">, C. L., </w:t>
      </w:r>
      <w:proofErr w:type="spellStart"/>
      <w:r w:rsidRPr="000C2554">
        <w:rPr>
          <w:rFonts w:ascii="Arial" w:hAnsi="Arial"/>
        </w:rPr>
        <w:t>DiSalvo</w:t>
      </w:r>
      <w:proofErr w:type="spellEnd"/>
      <w:r w:rsidRPr="000C2554">
        <w:rPr>
          <w:rFonts w:ascii="Arial" w:hAnsi="Arial"/>
        </w:rPr>
        <w:t xml:space="preserve">, S., &amp; Serio, T. R. (2010). A size threshold limits prion transmission and establishes phenotypic diversity. </w:t>
      </w:r>
      <w:proofErr w:type="gramStart"/>
      <w:r w:rsidRPr="000C2554">
        <w:rPr>
          <w:rFonts w:ascii="Arial" w:hAnsi="Arial"/>
          <w:i/>
          <w:iCs/>
        </w:rPr>
        <w:t>Science</w:t>
      </w:r>
      <w:r w:rsidRPr="000C2554">
        <w:rPr>
          <w:rFonts w:ascii="Arial" w:hAnsi="Arial"/>
        </w:rPr>
        <w:t xml:space="preserve">, </w:t>
      </w:r>
      <w:r w:rsidRPr="000C2554">
        <w:rPr>
          <w:rFonts w:ascii="Arial" w:hAnsi="Arial"/>
          <w:i/>
          <w:iCs/>
        </w:rPr>
        <w:t>330</w:t>
      </w:r>
      <w:r w:rsidRPr="000C2554">
        <w:rPr>
          <w:rFonts w:ascii="Arial" w:hAnsi="Arial"/>
        </w:rPr>
        <w:t>(6004), 680-683.</w:t>
      </w:r>
      <w:proofErr w:type="gramEnd"/>
    </w:p>
    <w:p w14:paraId="64CC5930" w14:textId="77777777" w:rsidR="000C2554" w:rsidRDefault="000C2554" w:rsidP="00390E22">
      <w:pPr>
        <w:rPr>
          <w:rFonts w:ascii="Arial" w:hAnsi="Arial"/>
        </w:rPr>
      </w:pPr>
    </w:p>
    <w:p w14:paraId="000E3680" w14:textId="77777777" w:rsidR="000C2554" w:rsidRDefault="000C2554" w:rsidP="000C2554">
      <w:pPr>
        <w:rPr>
          <w:rFonts w:ascii="Arial" w:hAnsi="Arial"/>
        </w:rPr>
      </w:pPr>
      <w:proofErr w:type="spellStart"/>
      <w:r w:rsidRPr="00390E22">
        <w:rPr>
          <w:rFonts w:ascii="Arial" w:hAnsi="Arial"/>
        </w:rPr>
        <w:t>Masel</w:t>
      </w:r>
      <w:proofErr w:type="spellEnd"/>
      <w:r w:rsidRPr="00390E22">
        <w:rPr>
          <w:rFonts w:ascii="Arial" w:hAnsi="Arial"/>
        </w:rPr>
        <w:t xml:space="preserve">, J., Jansen, V. A., &amp; Nowak, M. A. (1999). Quantifying the kinetic parameters of prion replication. </w:t>
      </w:r>
      <w:r w:rsidRPr="00390E22">
        <w:rPr>
          <w:rFonts w:ascii="Arial" w:hAnsi="Arial"/>
          <w:i/>
          <w:iCs/>
        </w:rPr>
        <w:t>Biophysical chemistry</w:t>
      </w:r>
      <w:r w:rsidRPr="00390E22">
        <w:rPr>
          <w:rFonts w:ascii="Arial" w:hAnsi="Arial"/>
        </w:rPr>
        <w:t xml:space="preserve">, </w:t>
      </w:r>
      <w:r w:rsidRPr="00390E22">
        <w:rPr>
          <w:rFonts w:ascii="Arial" w:hAnsi="Arial"/>
          <w:i/>
          <w:iCs/>
        </w:rPr>
        <w:t>77</w:t>
      </w:r>
      <w:r w:rsidRPr="00390E22">
        <w:rPr>
          <w:rFonts w:ascii="Arial" w:hAnsi="Arial"/>
        </w:rPr>
        <w:t>(2), 139-152.</w:t>
      </w:r>
    </w:p>
    <w:p w14:paraId="0944D988" w14:textId="77777777" w:rsidR="00E00389" w:rsidRDefault="00E00389" w:rsidP="000C2554">
      <w:pPr>
        <w:rPr>
          <w:rFonts w:ascii="Arial" w:hAnsi="Arial"/>
        </w:rPr>
      </w:pPr>
    </w:p>
    <w:p w14:paraId="534A58F1" w14:textId="77777777" w:rsidR="00E00389" w:rsidRDefault="00E00389" w:rsidP="00E00389">
      <w:pPr>
        <w:rPr>
          <w:rFonts w:ascii="Arial" w:hAnsi="Arial"/>
        </w:rPr>
      </w:pPr>
      <w:proofErr w:type="spellStart"/>
      <w:r w:rsidRPr="00E00389">
        <w:rPr>
          <w:rFonts w:ascii="Arial" w:hAnsi="Arial"/>
        </w:rPr>
        <w:t>Prüss</w:t>
      </w:r>
      <w:proofErr w:type="spellEnd"/>
      <w:r w:rsidRPr="00E00389">
        <w:rPr>
          <w:rFonts w:ascii="Arial" w:hAnsi="Arial"/>
        </w:rPr>
        <w:t xml:space="preserve">, J., </w:t>
      </w:r>
      <w:proofErr w:type="spellStart"/>
      <w:r w:rsidRPr="00E00389">
        <w:rPr>
          <w:rFonts w:ascii="Arial" w:hAnsi="Arial"/>
        </w:rPr>
        <w:t>Pujo-Menjouet</w:t>
      </w:r>
      <w:proofErr w:type="spellEnd"/>
      <w:r w:rsidRPr="00E00389">
        <w:rPr>
          <w:rFonts w:ascii="Arial" w:hAnsi="Arial"/>
        </w:rPr>
        <w:t xml:space="preserve">, L., Webb, G., &amp; </w:t>
      </w:r>
      <w:proofErr w:type="spellStart"/>
      <w:r w:rsidRPr="00E00389">
        <w:rPr>
          <w:rFonts w:ascii="Arial" w:hAnsi="Arial"/>
        </w:rPr>
        <w:t>Zacher</w:t>
      </w:r>
      <w:proofErr w:type="spellEnd"/>
      <w:r w:rsidRPr="00E00389">
        <w:rPr>
          <w:rFonts w:ascii="Arial" w:hAnsi="Arial"/>
        </w:rPr>
        <w:t xml:space="preserve">, R. (2006). </w:t>
      </w:r>
      <w:proofErr w:type="gramStart"/>
      <w:r w:rsidRPr="00E00389">
        <w:rPr>
          <w:rFonts w:ascii="Arial" w:hAnsi="Arial"/>
        </w:rPr>
        <w:t>Analysis of a model for the dynamics of prions.</w:t>
      </w:r>
      <w:proofErr w:type="gramEnd"/>
      <w:r w:rsidRPr="00E00389">
        <w:rPr>
          <w:rFonts w:ascii="Arial" w:hAnsi="Arial"/>
        </w:rPr>
        <w:t xml:space="preserve"> </w:t>
      </w:r>
      <w:r w:rsidRPr="00E00389">
        <w:rPr>
          <w:rFonts w:ascii="Arial" w:hAnsi="Arial"/>
          <w:i/>
          <w:iCs/>
        </w:rPr>
        <w:t xml:space="preserve">Discrete </w:t>
      </w:r>
      <w:proofErr w:type="spellStart"/>
      <w:r w:rsidRPr="00E00389">
        <w:rPr>
          <w:rFonts w:ascii="Arial" w:hAnsi="Arial"/>
          <w:i/>
          <w:iCs/>
        </w:rPr>
        <w:t>Contin</w:t>
      </w:r>
      <w:proofErr w:type="spellEnd"/>
      <w:r w:rsidRPr="00E00389">
        <w:rPr>
          <w:rFonts w:ascii="Arial" w:hAnsi="Arial"/>
          <w:i/>
          <w:iCs/>
        </w:rPr>
        <w:t xml:space="preserve">. </w:t>
      </w:r>
      <w:proofErr w:type="spellStart"/>
      <w:r w:rsidRPr="00E00389">
        <w:rPr>
          <w:rFonts w:ascii="Arial" w:hAnsi="Arial"/>
          <w:i/>
          <w:iCs/>
        </w:rPr>
        <w:t>Dyn</w:t>
      </w:r>
      <w:proofErr w:type="spellEnd"/>
      <w:r w:rsidRPr="00E00389">
        <w:rPr>
          <w:rFonts w:ascii="Arial" w:hAnsi="Arial"/>
          <w:i/>
          <w:iCs/>
        </w:rPr>
        <w:t>. Syst. Ser. B</w:t>
      </w:r>
      <w:r w:rsidRPr="00E00389">
        <w:rPr>
          <w:rFonts w:ascii="Arial" w:hAnsi="Arial"/>
        </w:rPr>
        <w:t xml:space="preserve">, </w:t>
      </w:r>
      <w:r w:rsidRPr="00E00389">
        <w:rPr>
          <w:rFonts w:ascii="Arial" w:hAnsi="Arial"/>
          <w:i/>
          <w:iCs/>
        </w:rPr>
        <w:t>6</w:t>
      </w:r>
      <w:r w:rsidRPr="00E00389">
        <w:rPr>
          <w:rFonts w:ascii="Arial" w:hAnsi="Arial"/>
        </w:rPr>
        <w:t>(1), 225-235.</w:t>
      </w:r>
    </w:p>
    <w:p w14:paraId="116606D9" w14:textId="77777777" w:rsidR="00BE0CFE" w:rsidRDefault="00BE0CFE" w:rsidP="00E00389">
      <w:pPr>
        <w:rPr>
          <w:rFonts w:ascii="Arial" w:hAnsi="Arial"/>
        </w:rPr>
      </w:pPr>
    </w:p>
    <w:p w14:paraId="217049B4" w14:textId="0B8137ED" w:rsidR="00737750" w:rsidRPr="00737750" w:rsidRDefault="00737750" w:rsidP="00737750">
      <w:pPr>
        <w:rPr>
          <w:rFonts w:ascii="Arial" w:hAnsi="Arial"/>
        </w:rPr>
      </w:pPr>
      <w:proofErr w:type="spellStart"/>
      <w:r>
        <w:rPr>
          <w:rFonts w:ascii="Arial" w:hAnsi="Arial"/>
        </w:rPr>
        <w:t>Sindi</w:t>
      </w:r>
      <w:proofErr w:type="spellEnd"/>
      <w:r>
        <w:rPr>
          <w:rFonts w:ascii="Arial" w:hAnsi="Arial"/>
        </w:rPr>
        <w:t xml:space="preserve">, S.S. (In Preparation). </w:t>
      </w:r>
      <w:proofErr w:type="gramStart"/>
      <w:r w:rsidRPr="00737750">
        <w:rPr>
          <w:rFonts w:ascii="Arial" w:hAnsi="Arial"/>
        </w:rPr>
        <w:t>A Logistic Model of Yeast Prion Aggregate Dynamics to Facilitate Estimation of Kinetic Pa</w:t>
      </w:r>
      <w:r>
        <w:rPr>
          <w:rFonts w:ascii="Arial" w:hAnsi="Arial"/>
        </w:rPr>
        <w:t>rameters from Experimental Data.</w:t>
      </w:r>
      <w:proofErr w:type="gramEnd"/>
    </w:p>
    <w:p w14:paraId="3159E370" w14:textId="77777777" w:rsidR="00E00389" w:rsidRDefault="00E00389" w:rsidP="000C2554">
      <w:pPr>
        <w:rPr>
          <w:rFonts w:ascii="Arial" w:hAnsi="Arial"/>
        </w:rPr>
      </w:pPr>
    </w:p>
    <w:p w14:paraId="276447A2" w14:textId="77777777" w:rsidR="00F86955" w:rsidRPr="00F86955" w:rsidRDefault="00F86955" w:rsidP="00F86955">
      <w:pPr>
        <w:rPr>
          <w:rFonts w:ascii="Arial" w:hAnsi="Arial"/>
        </w:rPr>
      </w:pPr>
      <w:proofErr w:type="gramStart"/>
      <w:r w:rsidRPr="00F86955">
        <w:rPr>
          <w:rFonts w:ascii="Arial" w:hAnsi="Arial"/>
        </w:rPr>
        <w:t xml:space="preserve">Tanaka, M., Collins, S. R., Toyama, B. H., &amp; </w:t>
      </w:r>
      <w:proofErr w:type="spellStart"/>
      <w:r w:rsidRPr="00F86955">
        <w:rPr>
          <w:rFonts w:ascii="Arial" w:hAnsi="Arial"/>
        </w:rPr>
        <w:t>Weissman</w:t>
      </w:r>
      <w:proofErr w:type="spellEnd"/>
      <w:r w:rsidRPr="00F86955">
        <w:rPr>
          <w:rFonts w:ascii="Arial" w:hAnsi="Arial"/>
        </w:rPr>
        <w:t>, J. S. (2006).</w:t>
      </w:r>
      <w:proofErr w:type="gramEnd"/>
      <w:r w:rsidRPr="00F86955">
        <w:rPr>
          <w:rFonts w:ascii="Arial" w:hAnsi="Arial"/>
        </w:rPr>
        <w:t xml:space="preserve"> The physical basis of how prion conformations determine strain phenotypes. </w:t>
      </w:r>
      <w:proofErr w:type="gramStart"/>
      <w:r w:rsidRPr="00F86955">
        <w:rPr>
          <w:rFonts w:ascii="Arial" w:hAnsi="Arial"/>
          <w:i/>
          <w:iCs/>
        </w:rPr>
        <w:t>Nature</w:t>
      </w:r>
      <w:r w:rsidRPr="00F86955">
        <w:rPr>
          <w:rFonts w:ascii="Arial" w:hAnsi="Arial"/>
        </w:rPr>
        <w:t xml:space="preserve">, </w:t>
      </w:r>
      <w:r w:rsidRPr="00F86955">
        <w:rPr>
          <w:rFonts w:ascii="Arial" w:hAnsi="Arial"/>
          <w:i/>
          <w:iCs/>
        </w:rPr>
        <w:t>442</w:t>
      </w:r>
      <w:r w:rsidRPr="00F86955">
        <w:rPr>
          <w:rFonts w:ascii="Arial" w:hAnsi="Arial"/>
        </w:rPr>
        <w:t>(7102), 585-589.</w:t>
      </w:r>
      <w:proofErr w:type="gramEnd"/>
    </w:p>
    <w:p w14:paraId="379F946F" w14:textId="77777777" w:rsidR="000C2554" w:rsidRPr="00390E22" w:rsidRDefault="000C2554" w:rsidP="00390E22">
      <w:pPr>
        <w:rPr>
          <w:rFonts w:ascii="Arial" w:hAnsi="Arial"/>
        </w:rPr>
      </w:pPr>
    </w:p>
    <w:p w14:paraId="0FAD6E1F" w14:textId="4753E4FB" w:rsidR="00390E22" w:rsidRPr="00390E22" w:rsidRDefault="00390E22" w:rsidP="00B71FA0">
      <w:pPr>
        <w:rPr>
          <w:rFonts w:ascii="Arial" w:hAnsi="Arial"/>
        </w:rPr>
      </w:pPr>
      <w:bookmarkStart w:id="0" w:name="_GoBack"/>
      <w:bookmarkEnd w:id="0"/>
    </w:p>
    <w:sectPr w:rsidR="00390E22" w:rsidRPr="00390E22" w:rsidSect="0032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662"/>
    <w:multiLevelType w:val="hybridMultilevel"/>
    <w:tmpl w:val="23221AB4"/>
    <w:lvl w:ilvl="0" w:tplc="C150BC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91191"/>
    <w:multiLevelType w:val="hybridMultilevel"/>
    <w:tmpl w:val="CB4CD292"/>
    <w:lvl w:ilvl="0" w:tplc="AA448F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36"/>
    <w:rsid w:val="000241EA"/>
    <w:rsid w:val="00053F57"/>
    <w:rsid w:val="000715B1"/>
    <w:rsid w:val="000753B6"/>
    <w:rsid w:val="00081C71"/>
    <w:rsid w:val="000929A0"/>
    <w:rsid w:val="000A7C2E"/>
    <w:rsid w:val="000C2554"/>
    <w:rsid w:val="00134F65"/>
    <w:rsid w:val="00146B52"/>
    <w:rsid w:val="0015133F"/>
    <w:rsid w:val="00167D90"/>
    <w:rsid w:val="00170ED6"/>
    <w:rsid w:val="00173F27"/>
    <w:rsid w:val="001A2ED2"/>
    <w:rsid w:val="001C6786"/>
    <w:rsid w:val="001E6D9F"/>
    <w:rsid w:val="001E6DAE"/>
    <w:rsid w:val="001F2CC2"/>
    <w:rsid w:val="0020361E"/>
    <w:rsid w:val="002066BE"/>
    <w:rsid w:val="0021370C"/>
    <w:rsid w:val="00237CA8"/>
    <w:rsid w:val="002570C4"/>
    <w:rsid w:val="00274416"/>
    <w:rsid w:val="0028491C"/>
    <w:rsid w:val="0028697C"/>
    <w:rsid w:val="00286A53"/>
    <w:rsid w:val="00294347"/>
    <w:rsid w:val="0029583F"/>
    <w:rsid w:val="00295DEB"/>
    <w:rsid w:val="002B0135"/>
    <w:rsid w:val="002C2957"/>
    <w:rsid w:val="002E468E"/>
    <w:rsid w:val="00327A6B"/>
    <w:rsid w:val="00344E75"/>
    <w:rsid w:val="003457DB"/>
    <w:rsid w:val="0035356D"/>
    <w:rsid w:val="00387CF9"/>
    <w:rsid w:val="00390E22"/>
    <w:rsid w:val="00392C11"/>
    <w:rsid w:val="003A2471"/>
    <w:rsid w:val="003D2FEA"/>
    <w:rsid w:val="003E4168"/>
    <w:rsid w:val="003F184E"/>
    <w:rsid w:val="004551B1"/>
    <w:rsid w:val="00463B9A"/>
    <w:rsid w:val="00465C90"/>
    <w:rsid w:val="00471AE7"/>
    <w:rsid w:val="00484F5E"/>
    <w:rsid w:val="004960F5"/>
    <w:rsid w:val="004D077D"/>
    <w:rsid w:val="004E7169"/>
    <w:rsid w:val="00535D40"/>
    <w:rsid w:val="0054349B"/>
    <w:rsid w:val="00560036"/>
    <w:rsid w:val="005F651B"/>
    <w:rsid w:val="006102B5"/>
    <w:rsid w:val="006401AE"/>
    <w:rsid w:val="0067642A"/>
    <w:rsid w:val="00684D1F"/>
    <w:rsid w:val="00692021"/>
    <w:rsid w:val="006933EC"/>
    <w:rsid w:val="006C4C36"/>
    <w:rsid w:val="006E2060"/>
    <w:rsid w:val="007344B0"/>
    <w:rsid w:val="00737750"/>
    <w:rsid w:val="00746128"/>
    <w:rsid w:val="007660FA"/>
    <w:rsid w:val="00780FC3"/>
    <w:rsid w:val="007C447F"/>
    <w:rsid w:val="007C4BAF"/>
    <w:rsid w:val="007D31D2"/>
    <w:rsid w:val="007D430B"/>
    <w:rsid w:val="00832B7E"/>
    <w:rsid w:val="008447EB"/>
    <w:rsid w:val="0085487C"/>
    <w:rsid w:val="008A04F0"/>
    <w:rsid w:val="008B7365"/>
    <w:rsid w:val="008D3B30"/>
    <w:rsid w:val="008D659F"/>
    <w:rsid w:val="009142EB"/>
    <w:rsid w:val="009454C7"/>
    <w:rsid w:val="00945550"/>
    <w:rsid w:val="0095275E"/>
    <w:rsid w:val="0096206F"/>
    <w:rsid w:val="00982572"/>
    <w:rsid w:val="00982D62"/>
    <w:rsid w:val="0099451E"/>
    <w:rsid w:val="009E2901"/>
    <w:rsid w:val="009F32B2"/>
    <w:rsid w:val="00A044A2"/>
    <w:rsid w:val="00A109FD"/>
    <w:rsid w:val="00A15A3E"/>
    <w:rsid w:val="00A31354"/>
    <w:rsid w:val="00A5429A"/>
    <w:rsid w:val="00B159F3"/>
    <w:rsid w:val="00B232A2"/>
    <w:rsid w:val="00B71FA0"/>
    <w:rsid w:val="00B72321"/>
    <w:rsid w:val="00B97669"/>
    <w:rsid w:val="00BB23E0"/>
    <w:rsid w:val="00BB4CC1"/>
    <w:rsid w:val="00BB7415"/>
    <w:rsid w:val="00BC6471"/>
    <w:rsid w:val="00BE0CFE"/>
    <w:rsid w:val="00BF63E8"/>
    <w:rsid w:val="00BF727D"/>
    <w:rsid w:val="00C27C24"/>
    <w:rsid w:val="00C45A50"/>
    <w:rsid w:val="00C66062"/>
    <w:rsid w:val="00C934D8"/>
    <w:rsid w:val="00C96CE7"/>
    <w:rsid w:val="00CA5A9A"/>
    <w:rsid w:val="00CE6AB2"/>
    <w:rsid w:val="00CF3688"/>
    <w:rsid w:val="00CF5209"/>
    <w:rsid w:val="00D1476B"/>
    <w:rsid w:val="00D16713"/>
    <w:rsid w:val="00D342A5"/>
    <w:rsid w:val="00D43F16"/>
    <w:rsid w:val="00D70F08"/>
    <w:rsid w:val="00D751AC"/>
    <w:rsid w:val="00DC441E"/>
    <w:rsid w:val="00DE007C"/>
    <w:rsid w:val="00DF3B5A"/>
    <w:rsid w:val="00DF7982"/>
    <w:rsid w:val="00E00389"/>
    <w:rsid w:val="00E15560"/>
    <w:rsid w:val="00E4091A"/>
    <w:rsid w:val="00E73046"/>
    <w:rsid w:val="00E90E14"/>
    <w:rsid w:val="00E928B1"/>
    <w:rsid w:val="00EA4979"/>
    <w:rsid w:val="00EC1FF6"/>
    <w:rsid w:val="00ED2D95"/>
    <w:rsid w:val="00F34749"/>
    <w:rsid w:val="00F45D68"/>
    <w:rsid w:val="00F546F6"/>
    <w:rsid w:val="00F60E15"/>
    <w:rsid w:val="00F83CA1"/>
    <w:rsid w:val="00F86955"/>
    <w:rsid w:val="00F977F0"/>
    <w:rsid w:val="00FB5C22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D5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E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4B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citation">
    <w:name w:val="element-citation"/>
    <w:basedOn w:val="DefaultParagraphFont"/>
    <w:rsid w:val="00146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E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4B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citation">
    <w:name w:val="element-citation"/>
    <w:basedOn w:val="DefaultParagraphFont"/>
    <w:rsid w:val="0014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7701</Characters>
  <Application>Microsoft Macintosh Word</Application>
  <DocSecurity>0</DocSecurity>
  <Lines>64</Lines>
  <Paragraphs>18</Paragraphs>
  <ScaleCrop>false</ScaleCrop>
  <Company>UC Merced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Sindi</dc:creator>
  <cp:keywords/>
  <dc:description/>
  <cp:lastModifiedBy>Tricia Serio</cp:lastModifiedBy>
  <cp:revision>2</cp:revision>
  <dcterms:created xsi:type="dcterms:W3CDTF">2016-10-19T14:24:00Z</dcterms:created>
  <dcterms:modified xsi:type="dcterms:W3CDTF">2016-10-19T14:24:00Z</dcterms:modified>
</cp:coreProperties>
</file>