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46" w:rsidRPr="00286CDE" w:rsidRDefault="006F3946" w:rsidP="00CC7526">
      <w:pPr>
        <w:spacing w:line="480" w:lineRule="auto"/>
        <w:jc w:val="center"/>
        <w:rPr>
          <w:rFonts w:ascii="Times New Roman" w:hAnsi="Times New Roman" w:cs="Times New Roman"/>
          <w:b/>
          <w:sz w:val="30"/>
          <w:szCs w:val="30"/>
        </w:rPr>
      </w:pPr>
      <w:r w:rsidRPr="00286CDE">
        <w:rPr>
          <w:rFonts w:ascii="Times New Roman" w:hAnsi="Times New Roman" w:cs="Times New Roman"/>
          <w:b/>
          <w:sz w:val="30"/>
          <w:szCs w:val="30"/>
        </w:rPr>
        <w:t xml:space="preserve">Genetic Evidence for </w:t>
      </w:r>
      <w:r>
        <w:rPr>
          <w:rFonts w:ascii="Times New Roman" w:hAnsi="Times New Roman" w:cs="Times New Roman"/>
          <w:b/>
          <w:sz w:val="30"/>
          <w:szCs w:val="30"/>
        </w:rPr>
        <w:t xml:space="preserve">Elevated Pathogenicity of Mitochondrial </w:t>
      </w:r>
      <w:r w:rsidRPr="00286CDE">
        <w:rPr>
          <w:rFonts w:ascii="Times New Roman" w:hAnsi="Times New Roman" w:cs="Times New Roman"/>
          <w:b/>
          <w:sz w:val="30"/>
          <w:szCs w:val="30"/>
        </w:rPr>
        <w:t xml:space="preserve">DNA </w:t>
      </w:r>
      <w:r>
        <w:rPr>
          <w:rFonts w:ascii="Times New Roman" w:hAnsi="Times New Roman" w:cs="Times New Roman"/>
          <w:b/>
          <w:sz w:val="30"/>
          <w:szCs w:val="30"/>
        </w:rPr>
        <w:t>Heteroplasmy</w:t>
      </w:r>
      <w:r w:rsidRPr="00286CDE">
        <w:rPr>
          <w:rFonts w:ascii="Times New Roman" w:hAnsi="Times New Roman" w:cs="Times New Roman"/>
          <w:b/>
          <w:sz w:val="30"/>
          <w:szCs w:val="30"/>
        </w:rPr>
        <w:t xml:space="preserve"> in Autism Spectrum Disorder</w:t>
      </w:r>
    </w:p>
    <w:p w:rsidR="009C3148" w:rsidRPr="00C46E74" w:rsidRDefault="009C3148" w:rsidP="009C3148">
      <w:pPr>
        <w:pStyle w:val="aff"/>
        <w:spacing w:line="480" w:lineRule="auto"/>
        <w:jc w:val="center"/>
        <w:rPr>
          <w:rFonts w:ascii="Times New Roman" w:hAnsi="Times New Roman"/>
          <w:i w:val="0"/>
          <w:szCs w:val="24"/>
        </w:rPr>
      </w:pPr>
      <w:r w:rsidRPr="00C46E74">
        <w:rPr>
          <w:rFonts w:ascii="Times New Roman" w:hAnsi="Times New Roman"/>
          <w:i w:val="0"/>
          <w:szCs w:val="24"/>
        </w:rPr>
        <w:t>Yiqin Wang</w:t>
      </w:r>
      <w:r>
        <w:rPr>
          <w:rFonts w:ascii="Times New Roman" w:hAnsi="Times New Roman"/>
          <w:i w:val="0"/>
          <w:szCs w:val="24"/>
          <w:vertAlign w:val="superscript"/>
        </w:rPr>
        <w:t>1</w:t>
      </w:r>
      <w:r w:rsidRPr="00C46E74">
        <w:rPr>
          <w:rFonts w:ascii="Times New Roman" w:hAnsi="Times New Roman"/>
          <w:i w:val="0"/>
          <w:szCs w:val="24"/>
        </w:rPr>
        <w:t>, Martin Picard</w:t>
      </w:r>
      <w:r>
        <w:rPr>
          <w:rFonts w:ascii="Times New Roman" w:hAnsi="Times New Roman"/>
          <w:i w:val="0"/>
          <w:szCs w:val="24"/>
          <w:vertAlign w:val="superscript"/>
        </w:rPr>
        <w:t>2</w:t>
      </w:r>
      <w:r w:rsidRPr="00C46E74">
        <w:rPr>
          <w:rFonts w:ascii="Times New Roman" w:hAnsi="Times New Roman"/>
          <w:i w:val="0"/>
          <w:szCs w:val="24"/>
        </w:rPr>
        <w:t>, and Zhenglong Gu</w:t>
      </w:r>
      <w:r>
        <w:rPr>
          <w:rFonts w:ascii="Times New Roman" w:hAnsi="Times New Roman"/>
          <w:i w:val="0"/>
          <w:szCs w:val="24"/>
          <w:vertAlign w:val="superscript"/>
        </w:rPr>
        <w:t>1</w:t>
      </w:r>
    </w:p>
    <w:p w:rsidR="0055351E" w:rsidRPr="00B40AE2" w:rsidRDefault="0055351E" w:rsidP="0055351E">
      <w:pPr>
        <w:pStyle w:val="aff"/>
        <w:spacing w:after="0" w:line="480" w:lineRule="auto"/>
        <w:rPr>
          <w:rFonts w:ascii="Times New Roman" w:hAnsi="Times New Roman"/>
          <w:i w:val="0"/>
          <w:szCs w:val="24"/>
        </w:rPr>
      </w:pPr>
      <w:r w:rsidRPr="00B40AE2">
        <w:rPr>
          <w:rFonts w:ascii="Times New Roman" w:hAnsi="Times New Roman"/>
          <w:i w:val="0"/>
          <w:szCs w:val="24"/>
          <w:vertAlign w:val="superscript"/>
        </w:rPr>
        <w:t xml:space="preserve">1 </w:t>
      </w:r>
      <w:r w:rsidRPr="00B40AE2">
        <w:rPr>
          <w:rFonts w:ascii="Times New Roman" w:hAnsi="Times New Roman"/>
          <w:i w:val="0"/>
          <w:szCs w:val="24"/>
        </w:rPr>
        <w:t xml:space="preserve">Division </w:t>
      </w:r>
      <w:r w:rsidRPr="00B40AE2">
        <w:rPr>
          <w:rFonts w:ascii="Times New Roman" w:hAnsi="Times New Roman"/>
          <w:bCs/>
          <w:i w:val="0"/>
          <w:szCs w:val="24"/>
        </w:rPr>
        <w:t>of</w:t>
      </w:r>
      <w:r w:rsidRPr="00B40AE2">
        <w:rPr>
          <w:rFonts w:ascii="Times New Roman" w:hAnsi="Times New Roman"/>
          <w:i w:val="0"/>
          <w:szCs w:val="24"/>
        </w:rPr>
        <w:t xml:space="preserve"> Nutritional Sciences, Cornell University, Ithaca, New York, </w:t>
      </w:r>
      <w:r w:rsidRPr="00E40337">
        <w:rPr>
          <w:rFonts w:ascii="Times New Roman" w:hAnsi="Times New Roman"/>
          <w:i w:val="0"/>
          <w:szCs w:val="24"/>
        </w:rPr>
        <w:t>United States of America</w:t>
      </w:r>
    </w:p>
    <w:p w:rsidR="0055351E" w:rsidRDefault="0055351E" w:rsidP="0055351E">
      <w:pPr>
        <w:pStyle w:val="aff"/>
        <w:spacing w:after="0" w:line="480" w:lineRule="auto"/>
        <w:rPr>
          <w:rStyle w:val="contextualextensionhighlight"/>
          <w:rFonts w:ascii="Times New Roman" w:hAnsi="Times New Roman" w:cs="Times New Roman"/>
          <w:i w:val="0"/>
          <w:iCs/>
          <w:szCs w:val="24"/>
        </w:rPr>
      </w:pPr>
      <w:r w:rsidRPr="00B40AE2">
        <w:rPr>
          <w:rFonts w:ascii="Times New Roman" w:hAnsi="Times New Roman" w:cs="Times New Roman"/>
          <w:i w:val="0"/>
          <w:szCs w:val="24"/>
          <w:vertAlign w:val="superscript"/>
        </w:rPr>
        <w:t xml:space="preserve">2 </w:t>
      </w:r>
      <w:r w:rsidRPr="00B40AE2">
        <w:rPr>
          <w:rFonts w:ascii="Times New Roman" w:hAnsi="Times New Roman" w:cs="Times New Roman"/>
          <w:i w:val="0"/>
          <w:iCs/>
          <w:szCs w:val="24"/>
        </w:rPr>
        <w:t xml:space="preserve">Department of Psychiatry, Division of Behavioral Medicine, </w:t>
      </w:r>
      <w:r>
        <w:rPr>
          <w:rFonts w:ascii="Times New Roman" w:hAnsi="Times New Roman" w:cs="Times New Roman"/>
          <w:i w:val="0"/>
          <w:iCs/>
          <w:szCs w:val="24"/>
        </w:rPr>
        <w:t xml:space="preserve">and </w:t>
      </w:r>
      <w:r w:rsidRPr="00B40AE2">
        <w:rPr>
          <w:rFonts w:ascii="Times New Roman" w:hAnsi="Times New Roman" w:cs="Times New Roman"/>
          <w:i w:val="0"/>
          <w:iCs/>
          <w:szCs w:val="24"/>
        </w:rPr>
        <w:t>Department of Neurology</w:t>
      </w:r>
      <w:r>
        <w:rPr>
          <w:rFonts w:ascii="Times New Roman" w:hAnsi="Times New Roman" w:cs="Times New Roman"/>
          <w:i w:val="0"/>
          <w:iCs/>
          <w:szCs w:val="24"/>
        </w:rPr>
        <w:t>,</w:t>
      </w:r>
      <w:r w:rsidRPr="00B40AE2">
        <w:rPr>
          <w:rFonts w:ascii="Times New Roman" w:hAnsi="Times New Roman" w:cs="Times New Roman"/>
          <w:i w:val="0"/>
          <w:iCs/>
          <w:szCs w:val="24"/>
        </w:rPr>
        <w:t xml:space="preserve"> </w:t>
      </w:r>
      <w:r>
        <w:rPr>
          <w:rFonts w:ascii="Times New Roman" w:hAnsi="Times New Roman" w:cs="Times New Roman"/>
          <w:i w:val="0"/>
          <w:iCs/>
          <w:szCs w:val="24"/>
        </w:rPr>
        <w:t xml:space="preserve">Division of </w:t>
      </w:r>
      <w:r w:rsidRPr="00B40AE2">
        <w:rPr>
          <w:rFonts w:ascii="Times New Roman" w:hAnsi="Times New Roman" w:cs="Times New Roman"/>
          <w:i w:val="0"/>
          <w:iCs/>
          <w:szCs w:val="24"/>
        </w:rPr>
        <w:t xml:space="preserve">Columbia Translational Neuroscience Initiative, </w:t>
      </w:r>
      <w:r w:rsidRPr="00B40AE2">
        <w:rPr>
          <w:rStyle w:val="contextualextensionhighlight"/>
          <w:rFonts w:ascii="Times New Roman" w:hAnsi="Times New Roman" w:cs="Times New Roman"/>
          <w:i w:val="0"/>
          <w:iCs/>
          <w:szCs w:val="24"/>
        </w:rPr>
        <w:t xml:space="preserve">Columbia University Medical Center, New York, </w:t>
      </w:r>
      <w:r>
        <w:rPr>
          <w:rStyle w:val="contextualextensionhighlight"/>
          <w:rFonts w:ascii="Times New Roman" w:hAnsi="Times New Roman" w:cs="Times New Roman"/>
          <w:i w:val="0"/>
          <w:iCs/>
          <w:szCs w:val="24"/>
        </w:rPr>
        <w:t>New York,</w:t>
      </w:r>
      <w:r w:rsidRPr="00B40AE2">
        <w:rPr>
          <w:rStyle w:val="contextualextensionhighlight"/>
          <w:rFonts w:ascii="Times New Roman" w:hAnsi="Times New Roman" w:cs="Times New Roman"/>
          <w:i w:val="0"/>
          <w:iCs/>
          <w:szCs w:val="24"/>
        </w:rPr>
        <w:t xml:space="preserve"> </w:t>
      </w:r>
      <w:r w:rsidRPr="00E40337">
        <w:rPr>
          <w:rStyle w:val="contextualextensionhighlight"/>
          <w:rFonts w:ascii="Times New Roman" w:hAnsi="Times New Roman" w:cs="Times New Roman"/>
          <w:i w:val="0"/>
          <w:iCs/>
          <w:szCs w:val="24"/>
        </w:rPr>
        <w:t>United States of America</w:t>
      </w:r>
    </w:p>
    <w:p w:rsidR="008E0D9C" w:rsidRPr="00AE78A2" w:rsidRDefault="008E0D9C" w:rsidP="00CC7526">
      <w:pPr>
        <w:spacing w:after="120" w:line="480" w:lineRule="auto"/>
        <w:rPr>
          <w:rFonts w:ascii="Times New Roman" w:hAnsi="Times New Roman" w:cs="Times New Roman"/>
          <w:lang w:val="en-GB"/>
        </w:rPr>
      </w:pPr>
    </w:p>
    <w:p w:rsidR="006F3946" w:rsidRDefault="001077C7" w:rsidP="00CC7526">
      <w:pPr>
        <w:spacing w:after="120" w:line="480" w:lineRule="auto"/>
        <w:rPr>
          <w:rFonts w:ascii="Times New Roman" w:hAnsi="Times New Roman" w:cs="Times New Roman"/>
          <w:b/>
          <w:sz w:val="28"/>
          <w:szCs w:val="28"/>
          <w:lang w:val="en-GB"/>
        </w:rPr>
      </w:pPr>
      <w:r>
        <w:rPr>
          <w:rFonts w:ascii="Times New Roman" w:hAnsi="Times New Roman" w:cs="Times New Roman"/>
          <w:b/>
          <w:sz w:val="28"/>
          <w:szCs w:val="28"/>
          <w:lang w:val="en-GB"/>
        </w:rPr>
        <w:t>Supporting information</w:t>
      </w:r>
    </w:p>
    <w:p w:rsidR="00AE78A2" w:rsidRPr="00A53B8D" w:rsidRDefault="00AE78A2" w:rsidP="00CC7526">
      <w:pPr>
        <w:spacing w:after="120" w:line="480" w:lineRule="auto"/>
        <w:rPr>
          <w:rFonts w:ascii="Times New Roman" w:hAnsi="Times New Roman" w:cs="Times New Roman"/>
          <w:b/>
          <w:sz w:val="24"/>
          <w:szCs w:val="24"/>
          <w:lang w:val="en-GB"/>
        </w:rPr>
      </w:pPr>
      <w:r w:rsidRPr="00A53B8D">
        <w:rPr>
          <w:rFonts w:ascii="Times New Roman" w:hAnsi="Times New Roman" w:cs="Times New Roman"/>
          <w:b/>
          <w:sz w:val="24"/>
          <w:szCs w:val="24"/>
          <w:lang w:val="en-GB"/>
        </w:rPr>
        <w:t>Possib</w:t>
      </w:r>
      <w:r w:rsidR="00A53B8D">
        <w:rPr>
          <w:rFonts w:ascii="Times New Roman" w:hAnsi="Times New Roman" w:cs="Times New Roman"/>
          <w:b/>
          <w:sz w:val="24"/>
          <w:szCs w:val="24"/>
          <w:lang w:val="en-GB"/>
        </w:rPr>
        <w:t>le confounding factors in</w:t>
      </w:r>
      <w:r w:rsidRPr="00A53B8D">
        <w:rPr>
          <w:rFonts w:ascii="Times New Roman" w:hAnsi="Times New Roman" w:cs="Times New Roman"/>
          <w:b/>
          <w:sz w:val="24"/>
          <w:szCs w:val="24"/>
          <w:lang w:val="en-GB"/>
        </w:rPr>
        <w:t xml:space="preserve"> heteroplasmy calling</w:t>
      </w:r>
      <w:r w:rsidR="006F3946">
        <w:rPr>
          <w:rFonts w:ascii="Times New Roman" w:hAnsi="Times New Roman" w:cs="Times New Roman"/>
          <w:b/>
          <w:sz w:val="24"/>
          <w:szCs w:val="24"/>
          <w:lang w:val="en-GB"/>
        </w:rPr>
        <w:t xml:space="preserve"> and heteroplasmy comparisons between probands and siblings</w:t>
      </w:r>
    </w:p>
    <w:p w:rsidR="00AE78A2" w:rsidRPr="00A53B8D" w:rsidRDefault="00AE78A2" w:rsidP="00CC7526">
      <w:pPr>
        <w:spacing w:after="120" w:line="480" w:lineRule="auto"/>
        <w:rPr>
          <w:rFonts w:ascii="Times New Roman" w:hAnsi="Times New Roman" w:cs="Times New Roman"/>
          <w:b/>
          <w:sz w:val="24"/>
          <w:szCs w:val="24"/>
          <w:lang w:val="en-GB"/>
        </w:rPr>
      </w:pPr>
      <w:r w:rsidRPr="00A53B8D">
        <w:rPr>
          <w:rFonts w:ascii="Times New Roman" w:hAnsi="Times New Roman" w:cs="Times New Roman"/>
          <w:b/>
          <w:sz w:val="24"/>
          <w:szCs w:val="24"/>
          <w:lang w:val="en-GB"/>
        </w:rPr>
        <w:t>mtDNA sequencing coverage</w:t>
      </w:r>
    </w:p>
    <w:p w:rsidR="00A53B8D" w:rsidRPr="007A6B44" w:rsidRDefault="00A53B8D" w:rsidP="00CC7526">
      <w:pPr>
        <w:spacing w:after="120" w:line="480" w:lineRule="auto"/>
        <w:rPr>
          <w:rFonts w:ascii="Times New Roman" w:eastAsia="Times New Roman" w:hAnsi="Times New Roman" w:cs="Times New Roman"/>
          <w:sz w:val="24"/>
          <w:szCs w:val="24"/>
        </w:rPr>
      </w:pPr>
      <w:r w:rsidRPr="00A53B8D">
        <w:rPr>
          <w:rFonts w:ascii="Times New Roman" w:hAnsi="Times New Roman" w:cs="Times New Roman"/>
          <w:sz w:val="24"/>
          <w:szCs w:val="24"/>
        </w:rPr>
        <w:t xml:space="preserve">In the 903 families included in the current study, the average depth of </w:t>
      </w:r>
      <w:r w:rsidR="004700B0">
        <w:rPr>
          <w:rFonts w:ascii="Times New Roman" w:hAnsi="Times New Roman" w:cs="Times New Roman"/>
          <w:sz w:val="24"/>
          <w:szCs w:val="24"/>
        </w:rPr>
        <w:t>mitochondrial DNA (</w:t>
      </w:r>
      <w:r w:rsidRPr="00A53B8D">
        <w:rPr>
          <w:rFonts w:ascii="Times New Roman" w:hAnsi="Times New Roman" w:cs="Times New Roman"/>
          <w:sz w:val="24"/>
          <w:szCs w:val="24"/>
        </w:rPr>
        <w:t>mtDNA</w:t>
      </w:r>
      <w:r w:rsidR="004700B0">
        <w:rPr>
          <w:rFonts w:ascii="Times New Roman" w:hAnsi="Times New Roman" w:cs="Times New Roman"/>
          <w:sz w:val="24"/>
          <w:szCs w:val="24"/>
        </w:rPr>
        <w:t>)</w:t>
      </w:r>
      <w:r w:rsidRPr="00A53B8D">
        <w:rPr>
          <w:rFonts w:ascii="Times New Roman" w:hAnsi="Times New Roman" w:cs="Times New Roman"/>
          <w:sz w:val="24"/>
          <w:szCs w:val="24"/>
        </w:rPr>
        <w:t xml:space="preserve"> coverage was significantly lower in mothers (132X [interquartile range, IQR:96X-150X], t-test, </w:t>
      </w:r>
      <w:r w:rsidRPr="00A53B8D">
        <w:rPr>
          <w:rFonts w:ascii="Times New Roman" w:hAnsi="Times New Roman" w:cs="Times New Roman"/>
          <w:i/>
          <w:sz w:val="24"/>
          <w:szCs w:val="24"/>
        </w:rPr>
        <w:t>P</w:t>
      </w:r>
      <w:r w:rsidRPr="00A53B8D">
        <w:rPr>
          <w:rFonts w:ascii="Times New Roman" w:hAnsi="Times New Roman" w:cs="Times New Roman"/>
          <w:sz w:val="24"/>
          <w:szCs w:val="24"/>
        </w:rPr>
        <w:t xml:space="preserve">&lt;0.0003) than that in siblings (142X [IQR:103X-162X]) and probands (148X [IQR:105X-166X]). </w:t>
      </w:r>
      <w:r w:rsidR="000C4A1A">
        <w:rPr>
          <w:rFonts w:ascii="Times New Roman" w:hAnsi="Times New Roman" w:cs="Times New Roman"/>
          <w:sz w:val="24"/>
          <w:szCs w:val="24"/>
        </w:rPr>
        <w:t>Although t</w:t>
      </w:r>
      <w:r w:rsidRPr="00A53B8D">
        <w:rPr>
          <w:rFonts w:ascii="Times New Roman" w:hAnsi="Times New Roman" w:cs="Times New Roman"/>
          <w:sz w:val="24"/>
          <w:szCs w:val="24"/>
        </w:rPr>
        <w:t xml:space="preserve">he difference of mtDNA coverage between probands and siblings in this dataset was minor </w:t>
      </w:r>
      <w:r w:rsidR="006F3946" w:rsidRPr="007A6B44">
        <w:rPr>
          <w:rFonts w:ascii="Times New Roman" w:eastAsia="Times New Roman" w:hAnsi="Times New Roman" w:cs="Times New Roman"/>
          <w:sz w:val="24"/>
          <w:szCs w:val="24"/>
        </w:rPr>
        <w:t>(4% in average mtDNA coverage) and was not statistically significant</w:t>
      </w:r>
      <w:r w:rsidR="000C4A1A">
        <w:rPr>
          <w:rFonts w:ascii="Times New Roman" w:hAnsi="Times New Roman" w:cs="Times New Roman"/>
          <w:sz w:val="24"/>
          <w:szCs w:val="24"/>
        </w:rPr>
        <w:t xml:space="preserve"> (t-test, </w:t>
      </w:r>
      <w:r w:rsidR="000C4A1A" w:rsidRPr="006F3946">
        <w:rPr>
          <w:rFonts w:ascii="Times New Roman" w:hAnsi="Times New Roman" w:cs="Times New Roman"/>
          <w:i/>
          <w:sz w:val="24"/>
          <w:szCs w:val="24"/>
        </w:rPr>
        <w:t>P</w:t>
      </w:r>
      <w:r w:rsidR="000C4A1A">
        <w:rPr>
          <w:rFonts w:ascii="Times New Roman" w:hAnsi="Times New Roman" w:cs="Times New Roman"/>
          <w:sz w:val="24"/>
          <w:szCs w:val="24"/>
        </w:rPr>
        <w:t xml:space="preserve">=0.074), </w:t>
      </w:r>
      <w:r w:rsidR="00C33387">
        <w:rPr>
          <w:rFonts w:ascii="Times New Roman" w:hAnsi="Times New Roman" w:cs="Times New Roman"/>
          <w:sz w:val="24"/>
          <w:szCs w:val="24"/>
        </w:rPr>
        <w:t xml:space="preserve">it might impact </w:t>
      </w:r>
      <w:r w:rsidR="00C33387" w:rsidRPr="007A6B44">
        <w:rPr>
          <w:rFonts w:ascii="Times New Roman" w:eastAsia="Times New Roman" w:hAnsi="Times New Roman" w:cs="Times New Roman"/>
          <w:sz w:val="24"/>
          <w:szCs w:val="24"/>
        </w:rPr>
        <w:t>sensitivity of heteroplasmy identification, especially identification</w:t>
      </w:r>
      <w:r w:rsidR="00C33387">
        <w:rPr>
          <w:rFonts w:ascii="Times New Roman" w:eastAsia="Times New Roman" w:hAnsi="Times New Roman" w:cs="Times New Roman"/>
          <w:sz w:val="24"/>
          <w:szCs w:val="24"/>
        </w:rPr>
        <w:t xml:space="preserve"> of low-fraction heteroplasmies</w:t>
      </w:r>
      <w:r w:rsidR="00C33387">
        <w:rPr>
          <w:rFonts w:ascii="Times New Roman" w:hAnsi="Times New Roman" w:cs="Times New Roman"/>
          <w:sz w:val="24"/>
          <w:szCs w:val="24"/>
        </w:rPr>
        <w:t xml:space="preserve">, leading to </w:t>
      </w:r>
      <w:r w:rsidR="006F3946">
        <w:rPr>
          <w:rFonts w:ascii="Times New Roman" w:hAnsi="Times New Roman" w:cs="Times New Roman"/>
          <w:sz w:val="24"/>
          <w:szCs w:val="24"/>
        </w:rPr>
        <w:t xml:space="preserve">a </w:t>
      </w:r>
      <w:r w:rsidR="00C33387" w:rsidRPr="00C33387">
        <w:rPr>
          <w:rFonts w:ascii="Times New Roman" w:hAnsi="Times New Roman" w:cs="Times New Roman"/>
          <w:sz w:val="24"/>
          <w:szCs w:val="24"/>
        </w:rPr>
        <w:t xml:space="preserve">spurious </w:t>
      </w:r>
      <w:r w:rsidR="00C33387">
        <w:rPr>
          <w:rFonts w:ascii="Times New Roman" w:hAnsi="Times New Roman" w:cs="Times New Roman"/>
          <w:sz w:val="24"/>
          <w:szCs w:val="24"/>
        </w:rPr>
        <w:t xml:space="preserve">association of mtDNA heteroplasmies with </w:t>
      </w:r>
      <w:r w:rsidR="00C33387" w:rsidRPr="00C33387">
        <w:rPr>
          <w:rFonts w:ascii="Times New Roman" w:hAnsi="Times New Roman" w:cs="Times New Roman"/>
          <w:sz w:val="24"/>
          <w:szCs w:val="24"/>
        </w:rPr>
        <w:t xml:space="preserve">Autism </w:t>
      </w:r>
      <w:r w:rsidR="00C33387" w:rsidRPr="00C33387">
        <w:rPr>
          <w:rFonts w:ascii="Times New Roman" w:hAnsi="Times New Roman" w:cs="Times New Roman"/>
          <w:sz w:val="24"/>
          <w:szCs w:val="24"/>
        </w:rPr>
        <w:lastRenderedPageBreak/>
        <w:t>Spectrum Disorder</w:t>
      </w:r>
      <w:r w:rsidR="00C33387">
        <w:rPr>
          <w:rFonts w:ascii="Times New Roman" w:hAnsi="Times New Roman" w:cs="Times New Roman"/>
          <w:sz w:val="24"/>
          <w:szCs w:val="24"/>
        </w:rPr>
        <w:t xml:space="preserve"> (ASD). To ensure the observed </w:t>
      </w:r>
      <w:r w:rsidR="00C33387" w:rsidRPr="00C33387">
        <w:rPr>
          <w:rFonts w:ascii="Times New Roman" w:hAnsi="Times New Roman" w:cs="Times New Roman"/>
          <w:sz w:val="24"/>
          <w:szCs w:val="24"/>
        </w:rPr>
        <w:t>differences in mtDNA sequencing coverage did not confound our results</w:t>
      </w:r>
      <w:r w:rsidR="00C33387">
        <w:rPr>
          <w:rFonts w:ascii="Times New Roman" w:hAnsi="Times New Roman" w:cs="Times New Roman"/>
          <w:sz w:val="24"/>
          <w:szCs w:val="24"/>
        </w:rPr>
        <w:t xml:space="preserve">, we first </w:t>
      </w:r>
      <w:r w:rsidR="000C4A1A">
        <w:rPr>
          <w:rFonts w:ascii="Times New Roman" w:eastAsia="Times New Roman" w:hAnsi="Times New Roman" w:cs="Times New Roman"/>
          <w:sz w:val="24"/>
          <w:szCs w:val="24"/>
        </w:rPr>
        <w:t xml:space="preserve">compared the frequency spectrum of identified mtDNA heteroplasmies in mothers, siblings and probands. </w:t>
      </w:r>
      <w:r w:rsidRPr="007A6B44">
        <w:rPr>
          <w:rFonts w:ascii="Times New Roman" w:eastAsia="Times New Roman" w:hAnsi="Times New Roman" w:cs="Times New Roman"/>
          <w:sz w:val="24"/>
          <w:szCs w:val="24"/>
        </w:rPr>
        <w:t xml:space="preserve">If the observed difference in mtDNA coverage did confound the heteroplasmy calling in our study, we </w:t>
      </w:r>
      <w:r w:rsidR="006F3946">
        <w:rPr>
          <w:rFonts w:ascii="Times New Roman" w:eastAsia="Times New Roman" w:hAnsi="Times New Roman" w:cs="Times New Roman"/>
          <w:sz w:val="24"/>
          <w:szCs w:val="24"/>
        </w:rPr>
        <w:t>would expect</w:t>
      </w:r>
      <w:r w:rsidRPr="007A6B44">
        <w:rPr>
          <w:rFonts w:ascii="Times New Roman" w:eastAsia="Times New Roman" w:hAnsi="Times New Roman" w:cs="Times New Roman"/>
          <w:sz w:val="24"/>
          <w:szCs w:val="24"/>
        </w:rPr>
        <w:t xml:space="preserve"> to see an inflation of low-to-median fraction heteroplasmies in probands compared to those in siblings</w:t>
      </w:r>
      <w:r w:rsidR="000C4A1A">
        <w:rPr>
          <w:rFonts w:ascii="Times New Roman" w:eastAsia="Times New Roman" w:hAnsi="Times New Roman" w:cs="Times New Roman"/>
          <w:sz w:val="24"/>
          <w:szCs w:val="24"/>
        </w:rPr>
        <w:t xml:space="preserve"> and mothers</w:t>
      </w:r>
      <w:r w:rsidRPr="007A6B44">
        <w:rPr>
          <w:rFonts w:ascii="Times New Roman" w:eastAsia="Times New Roman" w:hAnsi="Times New Roman" w:cs="Times New Roman"/>
          <w:sz w:val="24"/>
          <w:szCs w:val="24"/>
        </w:rPr>
        <w:t xml:space="preserve">. But the fraction spectrum of heteroplasmies did not differ </w:t>
      </w:r>
      <w:r w:rsidR="00C973ED">
        <w:rPr>
          <w:rFonts w:ascii="Times New Roman" w:eastAsia="Times New Roman" w:hAnsi="Times New Roman" w:cs="Times New Roman"/>
          <w:sz w:val="24"/>
          <w:szCs w:val="24"/>
        </w:rPr>
        <w:t>significantly</w:t>
      </w:r>
      <w:r w:rsidRPr="007A6B44">
        <w:rPr>
          <w:rFonts w:ascii="Times New Roman" w:eastAsia="Times New Roman" w:hAnsi="Times New Roman" w:cs="Times New Roman"/>
          <w:sz w:val="24"/>
          <w:szCs w:val="24"/>
        </w:rPr>
        <w:t xml:space="preserve"> </w:t>
      </w:r>
      <w:r w:rsidR="00C973ED">
        <w:rPr>
          <w:rFonts w:ascii="Times New Roman" w:eastAsia="Times New Roman" w:hAnsi="Times New Roman" w:cs="Times New Roman"/>
          <w:sz w:val="24"/>
          <w:szCs w:val="24"/>
        </w:rPr>
        <w:t>among these groups</w:t>
      </w:r>
      <w:r w:rsidRPr="007A6B44">
        <w:rPr>
          <w:rFonts w:ascii="Times New Roman" w:eastAsia="Times New Roman" w:hAnsi="Times New Roman" w:cs="Times New Roman"/>
          <w:sz w:val="24"/>
          <w:szCs w:val="24"/>
        </w:rPr>
        <w:t xml:space="preserve"> (</w:t>
      </w:r>
      <w:r w:rsidR="00183DC0">
        <w:rPr>
          <w:rFonts w:ascii="Times New Roman" w:eastAsia="Times New Roman" w:hAnsi="Times New Roman" w:cs="Times New Roman"/>
          <w:sz w:val="24"/>
          <w:szCs w:val="24"/>
        </w:rPr>
        <w:t>median</w:t>
      </w:r>
      <w:r w:rsidR="00C973ED">
        <w:rPr>
          <w:rFonts w:ascii="Times New Roman" w:eastAsia="Times New Roman" w:hAnsi="Times New Roman" w:cs="Times New Roman"/>
          <w:sz w:val="24"/>
          <w:szCs w:val="24"/>
        </w:rPr>
        <w:t>/mean values of heteroplasmy fraction:</w:t>
      </w:r>
      <w:r w:rsidR="00A97BC8">
        <w:rPr>
          <w:rFonts w:ascii="Times New Roman" w:eastAsia="Times New Roman" w:hAnsi="Times New Roman" w:cs="Times New Roman"/>
          <w:sz w:val="24"/>
          <w:szCs w:val="24"/>
        </w:rPr>
        <w:t xml:space="preserve"> 0.14</w:t>
      </w:r>
      <w:r w:rsidR="00183DC0">
        <w:rPr>
          <w:rFonts w:ascii="Times New Roman" w:eastAsia="Times New Roman" w:hAnsi="Times New Roman" w:cs="Times New Roman"/>
          <w:sz w:val="24"/>
          <w:szCs w:val="24"/>
        </w:rPr>
        <w:t>/</w:t>
      </w:r>
      <w:r w:rsidR="00A97BC8">
        <w:rPr>
          <w:rFonts w:ascii="Times New Roman" w:eastAsia="Times New Roman" w:hAnsi="Times New Roman" w:cs="Times New Roman"/>
          <w:sz w:val="24"/>
          <w:szCs w:val="24"/>
        </w:rPr>
        <w:t>0.21</w:t>
      </w:r>
      <w:r w:rsidR="00183DC0">
        <w:rPr>
          <w:rFonts w:ascii="Times New Roman" w:eastAsia="Times New Roman" w:hAnsi="Times New Roman" w:cs="Times New Roman"/>
          <w:sz w:val="24"/>
          <w:szCs w:val="24"/>
        </w:rPr>
        <w:t xml:space="preserve"> in siblings, </w:t>
      </w:r>
      <w:r w:rsidR="00A97BC8">
        <w:rPr>
          <w:rFonts w:ascii="Times New Roman" w:eastAsia="Times New Roman" w:hAnsi="Times New Roman" w:cs="Times New Roman"/>
          <w:sz w:val="24"/>
          <w:szCs w:val="24"/>
        </w:rPr>
        <w:t>0.13</w:t>
      </w:r>
      <w:r w:rsidR="00183DC0">
        <w:rPr>
          <w:rFonts w:ascii="Times New Roman" w:eastAsia="Times New Roman" w:hAnsi="Times New Roman" w:cs="Times New Roman"/>
          <w:sz w:val="24"/>
          <w:szCs w:val="24"/>
        </w:rPr>
        <w:t>/</w:t>
      </w:r>
      <w:r w:rsidR="00A97BC8">
        <w:rPr>
          <w:rFonts w:ascii="Times New Roman" w:eastAsia="Times New Roman" w:hAnsi="Times New Roman" w:cs="Times New Roman"/>
          <w:sz w:val="24"/>
          <w:szCs w:val="24"/>
        </w:rPr>
        <w:t>0.20 in probands, 0.13/0.19</w:t>
      </w:r>
      <w:r w:rsidR="00183DC0">
        <w:rPr>
          <w:rFonts w:ascii="Times New Roman" w:eastAsia="Times New Roman" w:hAnsi="Times New Roman" w:cs="Times New Roman"/>
          <w:sz w:val="24"/>
          <w:szCs w:val="24"/>
        </w:rPr>
        <w:t xml:space="preserve"> in mother</w:t>
      </w:r>
      <w:r w:rsidR="00C973ED">
        <w:rPr>
          <w:rFonts w:ascii="Times New Roman" w:eastAsia="Times New Roman" w:hAnsi="Times New Roman" w:cs="Times New Roman"/>
          <w:sz w:val="24"/>
          <w:szCs w:val="24"/>
        </w:rPr>
        <w:t>s</w:t>
      </w:r>
      <w:r w:rsidR="0034112D">
        <w:rPr>
          <w:rFonts w:ascii="Times New Roman" w:eastAsia="Times New Roman" w:hAnsi="Times New Roman" w:cs="Times New Roman"/>
          <w:sz w:val="24"/>
          <w:szCs w:val="24"/>
        </w:rPr>
        <w:t>;</w:t>
      </w:r>
      <w:r w:rsidR="00183DC0">
        <w:rPr>
          <w:rFonts w:ascii="Times New Roman" w:eastAsia="Times New Roman" w:hAnsi="Times New Roman" w:cs="Times New Roman"/>
          <w:sz w:val="24"/>
          <w:szCs w:val="24"/>
        </w:rPr>
        <w:t xml:space="preserve"> </w:t>
      </w:r>
      <w:r w:rsidRPr="007A6B44">
        <w:rPr>
          <w:rFonts w:ascii="Times New Roman" w:hAnsi="Times New Roman" w:cs="Times New Roman"/>
          <w:sz w:val="24"/>
          <w:szCs w:val="24"/>
        </w:rPr>
        <w:t xml:space="preserve">Mann-Whitney </w:t>
      </w:r>
      <w:r w:rsidRPr="007A6B44">
        <w:rPr>
          <w:rFonts w:ascii="Times New Roman" w:eastAsia="Times New Roman" w:hAnsi="Times New Roman" w:cs="Times New Roman"/>
          <w:sz w:val="24"/>
          <w:szCs w:val="24"/>
        </w:rPr>
        <w:t xml:space="preserve">test, </w:t>
      </w:r>
      <w:r w:rsidRPr="0034112D">
        <w:rPr>
          <w:rFonts w:ascii="Times New Roman" w:eastAsia="Times New Roman" w:hAnsi="Times New Roman" w:cs="Times New Roman"/>
          <w:i/>
          <w:sz w:val="24"/>
          <w:szCs w:val="24"/>
        </w:rPr>
        <w:t>P</w:t>
      </w:r>
      <w:r w:rsidRPr="007A6B44">
        <w:rPr>
          <w:rFonts w:ascii="Times New Roman" w:eastAsia="Times New Roman" w:hAnsi="Times New Roman" w:cs="Times New Roman"/>
          <w:sz w:val="24"/>
          <w:szCs w:val="24"/>
        </w:rPr>
        <w:t xml:space="preserve"> &gt; 0.17</w:t>
      </w:r>
      <w:r w:rsidR="00C973ED">
        <w:rPr>
          <w:rFonts w:ascii="Times New Roman" w:eastAsia="Times New Roman" w:hAnsi="Times New Roman" w:cs="Times New Roman"/>
          <w:sz w:val="24"/>
          <w:szCs w:val="24"/>
        </w:rPr>
        <w:t xml:space="preserve"> for pair-wise comparis</w:t>
      </w:r>
      <w:r w:rsidR="00183DC0">
        <w:rPr>
          <w:rFonts w:ascii="Times New Roman" w:eastAsia="Times New Roman" w:hAnsi="Times New Roman" w:cs="Times New Roman"/>
          <w:sz w:val="24"/>
          <w:szCs w:val="24"/>
        </w:rPr>
        <w:t>ons</w:t>
      </w:r>
      <w:r w:rsidRPr="007A6B44">
        <w:rPr>
          <w:rFonts w:ascii="Times New Roman" w:eastAsia="Times New Roman" w:hAnsi="Times New Roman" w:cs="Times New Roman"/>
          <w:sz w:val="24"/>
          <w:szCs w:val="24"/>
        </w:rPr>
        <w:t>)</w:t>
      </w:r>
      <w:r w:rsidR="005758B2">
        <w:rPr>
          <w:rFonts w:ascii="Times New Roman" w:eastAsia="Times New Roman" w:hAnsi="Times New Roman" w:cs="Times New Roman"/>
          <w:sz w:val="24"/>
          <w:szCs w:val="24"/>
        </w:rPr>
        <w:t xml:space="preserve">. </w:t>
      </w:r>
      <w:r w:rsidR="00C973ED">
        <w:rPr>
          <w:rFonts w:ascii="Times New Roman" w:eastAsia="Times New Roman" w:hAnsi="Times New Roman" w:cs="Times New Roman"/>
          <w:sz w:val="24"/>
          <w:szCs w:val="24"/>
        </w:rPr>
        <w:t>Moreover, t</w:t>
      </w:r>
      <w:r w:rsidRPr="007A6B44">
        <w:rPr>
          <w:rFonts w:ascii="Times New Roman" w:eastAsia="Times New Roman" w:hAnsi="Times New Roman" w:cs="Times New Roman"/>
          <w:sz w:val="24"/>
          <w:szCs w:val="24"/>
        </w:rPr>
        <w:t xml:space="preserve">here was little increase in the overall number of heteroplasmies </w:t>
      </w:r>
      <w:r w:rsidR="00CC7526">
        <w:rPr>
          <w:rFonts w:ascii="Times New Roman" w:eastAsia="Times New Roman" w:hAnsi="Times New Roman" w:cs="Times New Roman"/>
          <w:sz w:val="24"/>
          <w:szCs w:val="24"/>
        </w:rPr>
        <w:t>(Fig</w:t>
      </w:r>
      <w:r w:rsidR="00D806CA">
        <w:rPr>
          <w:rFonts w:ascii="Times New Roman" w:eastAsia="Times New Roman" w:hAnsi="Times New Roman" w:cs="Times New Roman"/>
          <w:sz w:val="24"/>
          <w:szCs w:val="24"/>
        </w:rPr>
        <w:t xml:space="preserve"> 2A) </w:t>
      </w:r>
      <w:r w:rsidRPr="007A6B44">
        <w:rPr>
          <w:rFonts w:ascii="Times New Roman" w:eastAsia="Times New Roman" w:hAnsi="Times New Roman" w:cs="Times New Roman"/>
          <w:sz w:val="24"/>
          <w:szCs w:val="24"/>
        </w:rPr>
        <w:t xml:space="preserve">detected in </w:t>
      </w:r>
      <w:r>
        <w:rPr>
          <w:rFonts w:ascii="Times New Roman" w:eastAsia="Times New Roman" w:hAnsi="Times New Roman" w:cs="Times New Roman"/>
          <w:sz w:val="24"/>
          <w:szCs w:val="24"/>
        </w:rPr>
        <w:t>probands compared to that</w:t>
      </w:r>
      <w:r w:rsidRPr="007A6B44">
        <w:rPr>
          <w:rFonts w:ascii="Times New Roman" w:eastAsia="Times New Roman" w:hAnsi="Times New Roman" w:cs="Times New Roman"/>
          <w:sz w:val="24"/>
          <w:szCs w:val="24"/>
        </w:rPr>
        <w:t xml:space="preserve"> in siblings, suggesting </w:t>
      </w:r>
      <w:r w:rsidR="001C3204">
        <w:rPr>
          <w:rFonts w:ascii="Times New Roman" w:eastAsia="Times New Roman" w:hAnsi="Times New Roman" w:cs="Times New Roman"/>
          <w:sz w:val="24"/>
          <w:szCs w:val="24"/>
        </w:rPr>
        <w:t xml:space="preserve">that </w:t>
      </w:r>
      <w:r w:rsidRPr="007A6B44">
        <w:rPr>
          <w:rFonts w:ascii="Times New Roman" w:eastAsia="Times New Roman" w:hAnsi="Times New Roman" w:cs="Times New Roman"/>
          <w:sz w:val="24"/>
          <w:szCs w:val="24"/>
        </w:rPr>
        <w:t>the 4% difference in sequencing coverage was unlikely to skew heteroplasmy identification in probands versus that in siblings.</w:t>
      </w:r>
    </w:p>
    <w:p w:rsidR="00CC7526" w:rsidRDefault="00CC7526" w:rsidP="00CC7526">
      <w:pPr>
        <w:spacing w:line="480" w:lineRule="auto"/>
        <w:rPr>
          <w:rFonts w:ascii="Times New Roman" w:eastAsia="Times New Roman" w:hAnsi="Times New Roman" w:cs="Times New Roman"/>
          <w:sz w:val="24"/>
          <w:szCs w:val="24"/>
        </w:rPr>
      </w:pPr>
      <w:r w:rsidRPr="007A6B44">
        <w:rPr>
          <w:rFonts w:ascii="Times New Roman" w:eastAsia="Times New Roman" w:hAnsi="Times New Roman" w:cs="Times New Roman"/>
          <w:sz w:val="24"/>
          <w:szCs w:val="24"/>
        </w:rPr>
        <w:t xml:space="preserve">To adjust for </w:t>
      </w:r>
      <w:r w:rsidRPr="007F15FB">
        <w:rPr>
          <w:rFonts w:ascii="Times New Roman" w:eastAsia="Times New Roman" w:hAnsi="Times New Roman" w:cs="Times New Roman"/>
          <w:sz w:val="24"/>
          <w:szCs w:val="24"/>
        </w:rPr>
        <w:t xml:space="preserve">sequencing coverage differences between siblings and probands as well as between mothers and children, </w:t>
      </w:r>
      <w:r w:rsidRPr="007F15FB">
        <w:rPr>
          <w:rFonts w:ascii="Times New Roman" w:hAnsi="Times New Roman" w:cs="Times New Roman"/>
          <w:sz w:val="24"/>
          <w:szCs w:val="24"/>
        </w:rPr>
        <w:t xml:space="preserve">we </w:t>
      </w:r>
      <w:r>
        <w:rPr>
          <w:rFonts w:ascii="Times New Roman" w:hAnsi="Times New Roman" w:cs="Times New Roman"/>
          <w:sz w:val="24"/>
          <w:szCs w:val="24"/>
        </w:rPr>
        <w:t>tested</w:t>
      </w:r>
      <w:r w:rsidRPr="007F15FB">
        <w:rPr>
          <w:rFonts w:ascii="Times New Roman" w:hAnsi="Times New Roman" w:cs="Times New Roman"/>
          <w:sz w:val="24"/>
          <w:szCs w:val="24"/>
        </w:rPr>
        <w:t xml:space="preserve"> a down-sampling method to harmonize sequencing coverage in the mother-prob</w:t>
      </w:r>
      <w:r w:rsidR="00F06B8D">
        <w:rPr>
          <w:rFonts w:ascii="Times New Roman" w:hAnsi="Times New Roman" w:cs="Times New Roman"/>
          <w:sz w:val="24"/>
          <w:szCs w:val="24"/>
        </w:rPr>
        <w:t>and-sibling trio of each family</w:t>
      </w:r>
      <w:r w:rsidRPr="007F15FB">
        <w:rPr>
          <w:rFonts w:ascii="Times New Roman" w:hAnsi="Times New Roman" w:cs="Times New Roman"/>
          <w:sz w:val="24"/>
          <w:szCs w:val="24"/>
        </w:rPr>
        <w:t xml:space="preserve">. In brief, we down-sampled reads of individuals to the lowest depth sequenced in the mother-proband-sibling trio at each mtDNA site. </w:t>
      </w:r>
      <w:r>
        <w:rPr>
          <w:rFonts w:ascii="Times New Roman" w:hAnsi="Times New Roman" w:cs="Times New Roman"/>
          <w:sz w:val="24"/>
          <w:szCs w:val="24"/>
        </w:rPr>
        <w:t>This procedure</w:t>
      </w:r>
      <w:r w:rsidRPr="007F15FB">
        <w:rPr>
          <w:rFonts w:ascii="Times New Roman" w:hAnsi="Times New Roman" w:cs="Times New Roman"/>
          <w:sz w:val="24"/>
          <w:szCs w:val="24"/>
        </w:rPr>
        <w:t xml:space="preserve"> ensured that individuals from the same family had equal sequencing coverage at every mtDNA site, </w:t>
      </w:r>
      <w:r>
        <w:rPr>
          <w:rFonts w:ascii="Times New Roman" w:hAnsi="Times New Roman" w:cs="Times New Roman"/>
          <w:sz w:val="24"/>
          <w:szCs w:val="24"/>
        </w:rPr>
        <w:t>thus</w:t>
      </w:r>
      <w:r w:rsidRPr="007F15FB">
        <w:rPr>
          <w:rFonts w:ascii="Times New Roman" w:hAnsi="Times New Roman" w:cs="Times New Roman"/>
          <w:sz w:val="24"/>
          <w:szCs w:val="24"/>
        </w:rPr>
        <w:t xml:space="preserve"> eliminat</w:t>
      </w:r>
      <w:r>
        <w:rPr>
          <w:rFonts w:ascii="Times New Roman" w:hAnsi="Times New Roman" w:cs="Times New Roman"/>
          <w:sz w:val="24"/>
          <w:szCs w:val="24"/>
        </w:rPr>
        <w:t>ing</w:t>
      </w:r>
      <w:r w:rsidRPr="007F15FB">
        <w:rPr>
          <w:rFonts w:ascii="Times New Roman" w:hAnsi="Times New Roman" w:cs="Times New Roman"/>
          <w:sz w:val="24"/>
          <w:szCs w:val="24"/>
        </w:rPr>
        <w:t xml:space="preserve"> the possible influence of distinct sequencing coverage on heteroplasmy calling between different groups. </w:t>
      </w:r>
      <w:r w:rsidRPr="007F15FB">
        <w:rPr>
          <w:rFonts w:ascii="Times New Roman" w:eastAsia="Times New Roman" w:hAnsi="Times New Roman" w:cs="Times New Roman"/>
          <w:sz w:val="24"/>
          <w:szCs w:val="24"/>
        </w:rPr>
        <w:t xml:space="preserve">We then performed variant calling and comparisons on the down-sampled dataset. </w:t>
      </w:r>
      <w:r w:rsidRPr="007F15FB">
        <w:rPr>
          <w:rFonts w:ascii="Times New Roman" w:hAnsi="Times New Roman" w:cs="Times New Roman"/>
          <w:sz w:val="24"/>
          <w:szCs w:val="24"/>
        </w:rPr>
        <w:t>We observed similar number of heteroplasmies detected from down-sampled reads compared to heteroplasmies detected from total reads in all groups</w:t>
      </w:r>
      <w:r>
        <w:rPr>
          <w:rFonts w:ascii="Times New Roman" w:hAnsi="Times New Roman" w:cs="Times New Roman"/>
          <w:sz w:val="24"/>
          <w:szCs w:val="24"/>
        </w:rPr>
        <w:t xml:space="preserve"> (</w:t>
      </w:r>
      <w:r w:rsidR="00032457">
        <w:rPr>
          <w:rFonts w:ascii="Times New Roman" w:eastAsia="Times New Roman" w:hAnsi="Times New Roman" w:cs="Times New Roman"/>
          <w:sz w:val="24"/>
          <w:szCs w:val="24"/>
        </w:rPr>
        <w:t>Table ST</w:t>
      </w:r>
      <w:r>
        <w:rPr>
          <w:rFonts w:ascii="Times New Roman" w:eastAsia="Times New Roman" w:hAnsi="Times New Roman" w:cs="Times New Roman"/>
          <w:sz w:val="24"/>
          <w:szCs w:val="24"/>
        </w:rPr>
        <w:t>1)</w:t>
      </w:r>
      <w:r w:rsidRPr="007F15FB">
        <w:rPr>
          <w:rFonts w:ascii="Times New Roman" w:hAnsi="Times New Roman" w:cs="Times New Roman"/>
          <w:sz w:val="24"/>
          <w:szCs w:val="24"/>
        </w:rPr>
        <w:t xml:space="preserve">, indicating that </w:t>
      </w:r>
      <w:r w:rsidR="005F31CF">
        <w:rPr>
          <w:rFonts w:ascii="Times New Roman" w:hAnsi="Times New Roman" w:cs="Times New Roman"/>
          <w:sz w:val="24"/>
          <w:szCs w:val="24"/>
        </w:rPr>
        <w:t>lowering read counts</w:t>
      </w:r>
      <w:r w:rsidR="00AF72C1">
        <w:rPr>
          <w:rFonts w:ascii="Times New Roman" w:hAnsi="Times New Roman" w:cs="Times New Roman"/>
          <w:sz w:val="24"/>
          <w:szCs w:val="24"/>
        </w:rPr>
        <w:t xml:space="preserve"> in some individuals</w:t>
      </w:r>
      <w:r w:rsidRPr="007F15FB">
        <w:rPr>
          <w:rFonts w:ascii="Times New Roman" w:hAnsi="Times New Roman" w:cs="Times New Roman"/>
          <w:sz w:val="24"/>
          <w:szCs w:val="24"/>
        </w:rPr>
        <w:t xml:space="preserve"> did not decrease power </w:t>
      </w:r>
      <w:r>
        <w:rPr>
          <w:rFonts w:ascii="Times New Roman" w:hAnsi="Times New Roman" w:cs="Times New Roman"/>
          <w:sz w:val="24"/>
          <w:szCs w:val="24"/>
        </w:rPr>
        <w:t>to</w:t>
      </w:r>
      <w:r w:rsidRPr="007F15FB">
        <w:rPr>
          <w:rFonts w:ascii="Times New Roman" w:hAnsi="Times New Roman" w:cs="Times New Roman"/>
          <w:sz w:val="24"/>
          <w:szCs w:val="24"/>
        </w:rPr>
        <w:t xml:space="preserve"> </w:t>
      </w:r>
      <w:r w:rsidRPr="007F15FB">
        <w:rPr>
          <w:rFonts w:ascii="Times New Roman" w:hAnsi="Times New Roman" w:cs="Times New Roman"/>
          <w:sz w:val="24"/>
          <w:szCs w:val="24"/>
        </w:rPr>
        <w:lastRenderedPageBreak/>
        <w:t>identify heteroplasm</w:t>
      </w:r>
      <w:r>
        <w:rPr>
          <w:rFonts w:ascii="Times New Roman" w:hAnsi="Times New Roman" w:cs="Times New Roman"/>
          <w:sz w:val="24"/>
          <w:szCs w:val="24"/>
        </w:rPr>
        <w:t>y differences between family members</w:t>
      </w:r>
      <w:r w:rsidRPr="007F15FB">
        <w:rPr>
          <w:rFonts w:ascii="Times New Roman" w:hAnsi="Times New Roman" w:cs="Times New Roman"/>
          <w:sz w:val="24"/>
          <w:szCs w:val="24"/>
        </w:rPr>
        <w:t xml:space="preserve">. </w:t>
      </w:r>
      <w:r w:rsidR="004E1C0A">
        <w:rPr>
          <w:rFonts w:ascii="Times New Roman" w:hAnsi="Times New Roman" w:cs="Times New Roman"/>
          <w:sz w:val="24"/>
          <w:szCs w:val="24"/>
        </w:rPr>
        <w:t>T</w:t>
      </w:r>
      <w:r>
        <w:rPr>
          <w:rFonts w:ascii="Times New Roman" w:eastAsia="Times New Roman" w:hAnsi="Times New Roman" w:cs="Times New Roman"/>
          <w:sz w:val="24"/>
          <w:szCs w:val="24"/>
        </w:rPr>
        <w:t>he difference between the complete and the down-sampled datasets</w:t>
      </w:r>
      <w:r w:rsidRPr="007A6B44">
        <w:rPr>
          <w:rFonts w:ascii="Times New Roman" w:eastAsia="Times New Roman" w:hAnsi="Times New Roman" w:cs="Times New Roman"/>
          <w:sz w:val="24"/>
          <w:szCs w:val="24"/>
        </w:rPr>
        <w:t xml:space="preserve"> </w:t>
      </w:r>
      <w:r w:rsidR="00A5627E" w:rsidRPr="00872211">
        <w:rPr>
          <w:rFonts w:ascii="Times New Roman" w:eastAsia="Times New Roman" w:hAnsi="Times New Roman" w:cs="Times New Roman"/>
          <w:sz w:val="24"/>
          <w:szCs w:val="24"/>
        </w:rPr>
        <w:t xml:space="preserve">among mothers, siblings, and probands </w:t>
      </w:r>
      <w:r>
        <w:rPr>
          <w:rFonts w:ascii="Times New Roman" w:eastAsia="Times New Roman" w:hAnsi="Times New Roman" w:cs="Times New Roman"/>
          <w:sz w:val="24"/>
          <w:szCs w:val="24"/>
        </w:rPr>
        <w:t>was</w:t>
      </w:r>
      <w:r w:rsidR="00F96D97">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comparable </w:t>
      </w:r>
      <w:r w:rsidRPr="007A6B44">
        <w:rPr>
          <w:rFonts w:ascii="Times New Roman" w:eastAsia="Times New Roman" w:hAnsi="Times New Roman" w:cs="Times New Roman"/>
          <w:sz w:val="24"/>
          <w:szCs w:val="24"/>
        </w:rPr>
        <w:t>to each other (Fisher’</w:t>
      </w:r>
      <w:r w:rsidR="00F542EE">
        <w:rPr>
          <w:rFonts w:ascii="Times New Roman" w:eastAsia="Times New Roman" w:hAnsi="Times New Roman" w:cs="Times New Roman"/>
          <w:sz w:val="24"/>
          <w:szCs w:val="24"/>
        </w:rPr>
        <w:t>s e</w:t>
      </w:r>
      <w:r w:rsidRPr="007A6B44">
        <w:rPr>
          <w:rFonts w:ascii="Times New Roman" w:eastAsia="Times New Roman" w:hAnsi="Times New Roman" w:cs="Times New Roman"/>
          <w:sz w:val="24"/>
          <w:szCs w:val="24"/>
        </w:rPr>
        <w:t xml:space="preserve">xact test, </w:t>
      </w:r>
      <w:r w:rsidRPr="007A6B44">
        <w:rPr>
          <w:rFonts w:ascii="Times New Roman" w:eastAsia="Times New Roman" w:hAnsi="Times New Roman" w:cs="Times New Roman"/>
          <w:i/>
          <w:sz w:val="24"/>
          <w:szCs w:val="24"/>
        </w:rPr>
        <w:t>P</w:t>
      </w:r>
      <w:r>
        <w:rPr>
          <w:rFonts w:ascii="Times New Roman" w:eastAsia="Times New Roman" w:hAnsi="Times New Roman" w:cs="Times New Roman"/>
          <w:sz w:val="24"/>
          <w:szCs w:val="24"/>
        </w:rPr>
        <w:t>&gt;</w:t>
      </w:r>
      <w:r w:rsidRPr="007A6B44">
        <w:rPr>
          <w:rFonts w:ascii="Times New Roman" w:eastAsia="Times New Roman" w:hAnsi="Times New Roman" w:cs="Times New Roman"/>
          <w:sz w:val="24"/>
          <w:szCs w:val="24"/>
        </w:rPr>
        <w:t>0.34</w:t>
      </w:r>
      <w:r w:rsidR="00ED16AF">
        <w:rPr>
          <w:rFonts w:ascii="Times New Roman" w:eastAsia="Times New Roman" w:hAnsi="Times New Roman" w:cs="Times New Roman"/>
          <w:sz w:val="24"/>
          <w:szCs w:val="24"/>
        </w:rPr>
        <w:t xml:space="preserve"> for pair-wise comparisons</w:t>
      </w:r>
      <w:r>
        <w:rPr>
          <w:rFonts w:ascii="Times New Roman" w:eastAsia="Times New Roman" w:hAnsi="Times New Roman" w:cs="Times New Roman"/>
          <w:sz w:val="24"/>
          <w:szCs w:val="24"/>
        </w:rPr>
        <w:t xml:space="preserve">, </w:t>
      </w:r>
      <w:r w:rsidR="00A1186E">
        <w:rPr>
          <w:rFonts w:ascii="Times New Roman" w:eastAsia="Times New Roman" w:hAnsi="Times New Roman" w:cs="Times New Roman"/>
          <w:sz w:val="24"/>
          <w:szCs w:val="24"/>
        </w:rPr>
        <w:t>Table ST</w:t>
      </w:r>
      <w:r>
        <w:rPr>
          <w:rFonts w:ascii="Times New Roman" w:eastAsia="Times New Roman" w:hAnsi="Times New Roman" w:cs="Times New Roman"/>
          <w:sz w:val="24"/>
          <w:szCs w:val="24"/>
        </w:rPr>
        <w:t>1</w:t>
      </w:r>
      <w:r w:rsidRPr="007A6B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Overall, this test </w:t>
      </w:r>
      <w:r w:rsidRPr="007A6B44">
        <w:rPr>
          <w:rFonts w:ascii="Times New Roman" w:eastAsia="Times New Roman" w:hAnsi="Times New Roman" w:cs="Times New Roman"/>
          <w:sz w:val="24"/>
          <w:szCs w:val="24"/>
        </w:rPr>
        <w:t>indicat</w:t>
      </w:r>
      <w:r w:rsidR="002E0262">
        <w:rPr>
          <w:rFonts w:ascii="Times New Roman" w:eastAsia="Times New Roman" w:hAnsi="Times New Roman" w:cs="Times New Roman"/>
          <w:sz w:val="24"/>
          <w:szCs w:val="24"/>
        </w:rPr>
        <w:t>ed</w:t>
      </w:r>
      <w:r w:rsidRPr="007A6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small </w:t>
      </w:r>
      <w:r w:rsidRPr="007A6B44">
        <w:rPr>
          <w:rFonts w:ascii="Times New Roman" w:eastAsia="Times New Roman" w:hAnsi="Times New Roman" w:cs="Times New Roman"/>
          <w:sz w:val="24"/>
          <w:szCs w:val="24"/>
        </w:rPr>
        <w:t xml:space="preserve">sequencing coverage differences between siblings and probands as well as between mothers and children </w:t>
      </w:r>
      <w:r>
        <w:rPr>
          <w:rFonts w:ascii="Times New Roman" w:eastAsia="Times New Roman" w:hAnsi="Times New Roman" w:cs="Times New Roman"/>
          <w:sz w:val="24"/>
          <w:szCs w:val="24"/>
        </w:rPr>
        <w:t>did not significantly</w:t>
      </w:r>
      <w:r w:rsidRPr="007A6B44">
        <w:rPr>
          <w:rFonts w:ascii="Times New Roman" w:eastAsia="Times New Roman" w:hAnsi="Times New Roman" w:cs="Times New Roman"/>
          <w:sz w:val="24"/>
          <w:szCs w:val="24"/>
        </w:rPr>
        <w:t xml:space="preserve"> bias heteroplasmy calling. </w:t>
      </w:r>
    </w:p>
    <w:p w:rsidR="00CC7526" w:rsidRPr="00521ED6" w:rsidRDefault="00CC7526" w:rsidP="00CC7526">
      <w:pPr>
        <w:spacing w:after="120" w:line="240" w:lineRule="auto"/>
        <w:rPr>
          <w:rFonts w:ascii="Times New Roman" w:eastAsia="Times New Roman" w:hAnsi="Times New Roman" w:cs="Times New Roman"/>
          <w:b/>
          <w:sz w:val="24"/>
          <w:szCs w:val="24"/>
        </w:rPr>
      </w:pPr>
      <w:r w:rsidRPr="00521ED6">
        <w:rPr>
          <w:rFonts w:ascii="Times New Roman" w:eastAsia="Times New Roman" w:hAnsi="Times New Roman" w:cs="Times New Roman"/>
          <w:b/>
          <w:sz w:val="24"/>
          <w:szCs w:val="24"/>
        </w:rPr>
        <w:t>Table S</w:t>
      </w:r>
      <w:r w:rsidR="00BF33AD">
        <w:rPr>
          <w:rFonts w:ascii="Times New Roman" w:eastAsia="Times New Roman" w:hAnsi="Times New Roman" w:cs="Times New Roman"/>
          <w:b/>
          <w:sz w:val="24"/>
          <w:szCs w:val="24"/>
        </w:rPr>
        <w:t>T</w:t>
      </w:r>
      <w:r w:rsidRPr="00521ED6">
        <w:rPr>
          <w:rFonts w:ascii="Times New Roman" w:eastAsia="Times New Roman" w:hAnsi="Times New Roman" w:cs="Times New Roman"/>
          <w:b/>
          <w:sz w:val="24"/>
          <w:szCs w:val="24"/>
        </w:rPr>
        <w:t>1. mtDNA heteroplasmies called using down-sampled reads and total reads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377"/>
        <w:gridCol w:w="2126"/>
        <w:gridCol w:w="1701"/>
      </w:tblGrid>
      <w:tr w:rsidR="00CC7526" w:rsidRPr="007A6B44" w:rsidTr="00C04E69">
        <w:trPr>
          <w:trHeight w:val="454"/>
        </w:trPr>
        <w:tc>
          <w:tcPr>
            <w:tcW w:w="2013" w:type="dxa"/>
            <w:shd w:val="clear" w:color="auto" w:fill="auto"/>
            <w:noWrap/>
            <w:vAlign w:val="bottom"/>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p>
        </w:tc>
        <w:tc>
          <w:tcPr>
            <w:tcW w:w="4503" w:type="dxa"/>
            <w:gridSpan w:val="2"/>
            <w:shd w:val="clear" w:color="auto" w:fill="auto"/>
            <w:noWrap/>
            <w:vAlign w:val="bottom"/>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Heteroplasmies called using</w:t>
            </w:r>
          </w:p>
        </w:tc>
        <w:tc>
          <w:tcPr>
            <w:tcW w:w="1701" w:type="dxa"/>
            <w:vMerge w:val="restart"/>
            <w:shd w:val="clear" w:color="auto" w:fill="auto"/>
            <w:noWrap/>
            <w:vAlign w:val="center"/>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Difference</w:t>
            </w:r>
          </w:p>
        </w:tc>
      </w:tr>
      <w:tr w:rsidR="00CC7526" w:rsidRPr="007A6B44" w:rsidTr="00C04E69">
        <w:trPr>
          <w:trHeight w:val="454"/>
        </w:trPr>
        <w:tc>
          <w:tcPr>
            <w:tcW w:w="2013"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Groups</w:t>
            </w:r>
          </w:p>
        </w:tc>
        <w:tc>
          <w:tcPr>
            <w:tcW w:w="2377" w:type="dxa"/>
            <w:shd w:val="clear" w:color="auto" w:fill="auto"/>
            <w:noWrap/>
            <w:vAlign w:val="bottom"/>
            <w:hideMark/>
          </w:tcPr>
          <w:p w:rsidR="00CC7526" w:rsidRPr="007A6B44" w:rsidRDefault="004D5097" w:rsidP="00CC7526">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Down-sampled r</w:t>
            </w:r>
            <w:r w:rsidR="00CC7526" w:rsidRPr="007A6B44">
              <w:rPr>
                <w:rFonts w:ascii="Times New Roman" w:eastAsia="Times New Roman" w:hAnsi="Times New Roman" w:cs="Times New Roman"/>
                <w:color w:val="000000"/>
                <w:sz w:val="24"/>
                <w:szCs w:val="24"/>
              </w:rPr>
              <w:t>eads</w:t>
            </w:r>
          </w:p>
        </w:tc>
        <w:tc>
          <w:tcPr>
            <w:tcW w:w="2126" w:type="dxa"/>
            <w:shd w:val="clear" w:color="auto" w:fill="auto"/>
            <w:noWrap/>
            <w:vAlign w:val="center"/>
            <w:hideMark/>
          </w:tcPr>
          <w:p w:rsidR="00CC7526" w:rsidRPr="007A6B44" w:rsidRDefault="00CC7526" w:rsidP="00CC7526">
            <w:pPr>
              <w:spacing w:before="120" w:after="120" w:line="240" w:lineRule="auto"/>
              <w:jc w:val="center"/>
              <w:rPr>
                <w:rFonts w:ascii="Times New Roman" w:hAnsi="Times New Roman" w:cs="Times New Roman"/>
                <w:color w:val="000000"/>
                <w:sz w:val="24"/>
                <w:szCs w:val="24"/>
              </w:rPr>
            </w:pPr>
            <w:r w:rsidRPr="007A6B44">
              <w:rPr>
                <w:rFonts w:ascii="Times New Roman" w:hAnsi="Times New Roman" w:cs="Times New Roman"/>
                <w:color w:val="000000"/>
                <w:sz w:val="24"/>
                <w:szCs w:val="24"/>
              </w:rPr>
              <w:t>Total reads</w:t>
            </w:r>
          </w:p>
        </w:tc>
        <w:tc>
          <w:tcPr>
            <w:tcW w:w="1701" w:type="dxa"/>
            <w:vMerge/>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p>
        </w:tc>
      </w:tr>
      <w:tr w:rsidR="00CC7526" w:rsidRPr="007A6B44" w:rsidTr="00C04E69">
        <w:trPr>
          <w:trHeight w:val="454"/>
        </w:trPr>
        <w:tc>
          <w:tcPr>
            <w:tcW w:w="2013"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7A6B44">
              <w:rPr>
                <w:rFonts w:ascii="Times New Roman" w:eastAsia="Times New Roman" w:hAnsi="Times New Roman" w:cs="Times New Roman"/>
                <w:color w:val="000000"/>
                <w:sz w:val="24"/>
                <w:szCs w:val="24"/>
              </w:rPr>
              <w:t>other</w:t>
            </w:r>
          </w:p>
        </w:tc>
        <w:tc>
          <w:tcPr>
            <w:tcW w:w="2377"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241</w:t>
            </w:r>
          </w:p>
        </w:tc>
        <w:tc>
          <w:tcPr>
            <w:tcW w:w="2126" w:type="dxa"/>
            <w:shd w:val="clear" w:color="auto" w:fill="auto"/>
            <w:noWrap/>
            <w:vAlign w:val="center"/>
            <w:hideMark/>
          </w:tcPr>
          <w:p w:rsidR="00CC7526" w:rsidRPr="007A6B44" w:rsidRDefault="00CC7526" w:rsidP="00CC7526">
            <w:pPr>
              <w:spacing w:before="120" w:after="120" w:line="240" w:lineRule="auto"/>
              <w:jc w:val="center"/>
              <w:rPr>
                <w:rFonts w:ascii="Times New Roman" w:hAnsi="Times New Roman" w:cs="Times New Roman"/>
                <w:color w:val="000000"/>
                <w:sz w:val="24"/>
                <w:szCs w:val="24"/>
              </w:rPr>
            </w:pPr>
            <w:r w:rsidRPr="007A6B44">
              <w:rPr>
                <w:rFonts w:ascii="Times New Roman" w:hAnsi="Times New Roman" w:cs="Times New Roman"/>
                <w:color w:val="000000"/>
                <w:sz w:val="24"/>
                <w:szCs w:val="24"/>
              </w:rPr>
              <w:t>246</w:t>
            </w:r>
          </w:p>
        </w:tc>
        <w:tc>
          <w:tcPr>
            <w:tcW w:w="1701"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-5 (-1.9%)</w:t>
            </w:r>
          </w:p>
        </w:tc>
      </w:tr>
      <w:tr w:rsidR="00CC7526" w:rsidRPr="007A6B44" w:rsidTr="00C04E69">
        <w:trPr>
          <w:trHeight w:val="454"/>
        </w:trPr>
        <w:tc>
          <w:tcPr>
            <w:tcW w:w="2013"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7A6B44">
              <w:rPr>
                <w:rFonts w:ascii="Times New Roman" w:eastAsia="Times New Roman" w:hAnsi="Times New Roman" w:cs="Times New Roman"/>
                <w:color w:val="000000"/>
                <w:sz w:val="24"/>
                <w:szCs w:val="24"/>
              </w:rPr>
              <w:t>ibling</w:t>
            </w:r>
          </w:p>
        </w:tc>
        <w:tc>
          <w:tcPr>
            <w:tcW w:w="2377"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227</w:t>
            </w:r>
          </w:p>
        </w:tc>
        <w:tc>
          <w:tcPr>
            <w:tcW w:w="2126" w:type="dxa"/>
            <w:shd w:val="clear" w:color="auto" w:fill="auto"/>
            <w:noWrap/>
            <w:vAlign w:val="center"/>
            <w:hideMark/>
          </w:tcPr>
          <w:p w:rsidR="00CC7526" w:rsidRPr="007A6B44" w:rsidRDefault="00CC7526" w:rsidP="00CC7526">
            <w:pPr>
              <w:spacing w:before="120" w:after="120" w:line="240" w:lineRule="auto"/>
              <w:jc w:val="center"/>
              <w:rPr>
                <w:rFonts w:ascii="Times New Roman" w:hAnsi="Times New Roman" w:cs="Times New Roman"/>
                <w:color w:val="000000"/>
                <w:sz w:val="24"/>
                <w:szCs w:val="24"/>
              </w:rPr>
            </w:pPr>
            <w:r w:rsidRPr="007A6B44">
              <w:rPr>
                <w:rFonts w:ascii="Times New Roman" w:hAnsi="Times New Roman" w:cs="Times New Roman"/>
                <w:color w:val="000000"/>
                <w:sz w:val="24"/>
                <w:szCs w:val="24"/>
              </w:rPr>
              <w:t>230</w:t>
            </w:r>
          </w:p>
        </w:tc>
        <w:tc>
          <w:tcPr>
            <w:tcW w:w="1701"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-3 (-1.2%)</w:t>
            </w:r>
          </w:p>
        </w:tc>
      </w:tr>
      <w:tr w:rsidR="00CC7526" w:rsidRPr="007A6B44" w:rsidTr="00C04E69">
        <w:trPr>
          <w:trHeight w:val="454"/>
        </w:trPr>
        <w:tc>
          <w:tcPr>
            <w:tcW w:w="2013"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A6B44">
              <w:rPr>
                <w:rFonts w:ascii="Times New Roman" w:eastAsia="Times New Roman" w:hAnsi="Times New Roman" w:cs="Times New Roman"/>
                <w:color w:val="000000"/>
                <w:sz w:val="24"/>
                <w:szCs w:val="24"/>
              </w:rPr>
              <w:t>roband</w:t>
            </w:r>
          </w:p>
        </w:tc>
        <w:tc>
          <w:tcPr>
            <w:tcW w:w="2377"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235</w:t>
            </w:r>
          </w:p>
        </w:tc>
        <w:tc>
          <w:tcPr>
            <w:tcW w:w="2126" w:type="dxa"/>
            <w:shd w:val="clear" w:color="auto" w:fill="auto"/>
            <w:noWrap/>
            <w:vAlign w:val="center"/>
            <w:hideMark/>
          </w:tcPr>
          <w:p w:rsidR="00CC7526" w:rsidRPr="007A6B44" w:rsidRDefault="00CC7526" w:rsidP="00CC7526">
            <w:pPr>
              <w:spacing w:before="120" w:after="120" w:line="240" w:lineRule="auto"/>
              <w:jc w:val="center"/>
              <w:rPr>
                <w:rFonts w:ascii="Times New Roman" w:hAnsi="Times New Roman" w:cs="Times New Roman"/>
                <w:color w:val="000000"/>
                <w:sz w:val="24"/>
                <w:szCs w:val="24"/>
              </w:rPr>
            </w:pPr>
            <w:r w:rsidRPr="007A6B44">
              <w:rPr>
                <w:rFonts w:ascii="Times New Roman" w:hAnsi="Times New Roman" w:cs="Times New Roman"/>
                <w:color w:val="000000"/>
                <w:sz w:val="24"/>
                <w:szCs w:val="24"/>
              </w:rPr>
              <w:t>242</w:t>
            </w:r>
          </w:p>
        </w:tc>
        <w:tc>
          <w:tcPr>
            <w:tcW w:w="1701" w:type="dxa"/>
            <w:shd w:val="clear" w:color="auto" w:fill="auto"/>
            <w:noWrap/>
            <w:vAlign w:val="bottom"/>
            <w:hideMark/>
          </w:tcPr>
          <w:p w:rsidR="00CC7526" w:rsidRPr="007A6B44" w:rsidRDefault="00CC7526" w:rsidP="00CC7526">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-7 (-2.8%)</w:t>
            </w:r>
          </w:p>
        </w:tc>
      </w:tr>
    </w:tbl>
    <w:p w:rsidR="00CC7526" w:rsidRDefault="00CC7526" w:rsidP="00CC75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on down-sampled reads are averages over three independent down-sampling procedures.</w:t>
      </w:r>
    </w:p>
    <w:p w:rsidR="00CC7526" w:rsidRDefault="00CC7526" w:rsidP="00CC7526">
      <w:pPr>
        <w:spacing w:line="240" w:lineRule="auto"/>
        <w:rPr>
          <w:rFonts w:ascii="Times New Roman" w:eastAsia="Times New Roman" w:hAnsi="Times New Roman" w:cs="Times New Roman"/>
          <w:sz w:val="24"/>
          <w:szCs w:val="24"/>
        </w:rPr>
      </w:pPr>
    </w:p>
    <w:p w:rsidR="00CC7526" w:rsidRPr="007A6B44" w:rsidRDefault="00CC7526" w:rsidP="00CC7526">
      <w:pPr>
        <w:spacing w:line="480" w:lineRule="auto"/>
        <w:rPr>
          <w:rFonts w:ascii="Times New Roman" w:eastAsia="Times New Roman" w:hAnsi="Times New Roman" w:cs="Times New Roman"/>
          <w:sz w:val="24"/>
          <w:szCs w:val="24"/>
        </w:rPr>
      </w:pPr>
      <w:r w:rsidRPr="007A6B44">
        <w:rPr>
          <w:rFonts w:ascii="Times New Roman" w:eastAsia="Times New Roman" w:hAnsi="Times New Roman" w:cs="Times New Roman"/>
          <w:sz w:val="24"/>
          <w:szCs w:val="24"/>
        </w:rPr>
        <w:t xml:space="preserve">Next, we </w:t>
      </w:r>
      <w:r>
        <w:rPr>
          <w:rFonts w:ascii="Times New Roman" w:eastAsia="Times New Roman" w:hAnsi="Times New Roman" w:cs="Times New Roman"/>
          <w:sz w:val="24"/>
          <w:szCs w:val="24"/>
        </w:rPr>
        <w:t xml:space="preserve">used the down-sampled dataset to perform </w:t>
      </w:r>
      <w:r w:rsidRPr="007A6B44">
        <w:rPr>
          <w:rFonts w:ascii="Times New Roman" w:eastAsia="Times New Roman" w:hAnsi="Times New Roman" w:cs="Times New Roman"/>
          <w:sz w:val="24"/>
          <w:szCs w:val="24"/>
        </w:rPr>
        <w:t xml:space="preserve">the same analyses </w:t>
      </w:r>
      <w:r>
        <w:rPr>
          <w:rFonts w:ascii="Times New Roman" w:eastAsia="Times New Roman" w:hAnsi="Times New Roman" w:cs="Times New Roman"/>
          <w:sz w:val="24"/>
          <w:szCs w:val="24"/>
        </w:rPr>
        <w:t xml:space="preserve">presented </w:t>
      </w:r>
      <w:r w:rsidRPr="007A6B44">
        <w:rPr>
          <w:rFonts w:ascii="Times New Roman" w:eastAsia="Times New Roman" w:hAnsi="Times New Roman" w:cs="Times New Roman"/>
          <w:sz w:val="24"/>
          <w:szCs w:val="24"/>
        </w:rPr>
        <w:t xml:space="preserve">in the </w:t>
      </w:r>
      <w:r w:rsidR="00D93F8B">
        <w:rPr>
          <w:rFonts w:ascii="Times New Roman" w:eastAsia="Times New Roman" w:hAnsi="Times New Roman" w:cs="Times New Roman"/>
          <w:sz w:val="24"/>
          <w:szCs w:val="24"/>
        </w:rPr>
        <w:t>main text</w:t>
      </w:r>
      <w:r w:rsidRPr="007A6B44">
        <w:rPr>
          <w:rFonts w:ascii="Times New Roman" w:eastAsia="Times New Roman" w:hAnsi="Times New Roman" w:cs="Times New Roman"/>
          <w:sz w:val="24"/>
          <w:szCs w:val="24"/>
        </w:rPr>
        <w:t xml:space="preserve"> to compare incidence of heteroplasmies between probands and siblings, as well as their transmission pattern from mothers to children. Again, the down-sampling procedure did not qualitatively alter our observations from analyses based on total reads; the enrichment of non-synonymous and predicated pathogenic mutations in probands remained consistent</w:t>
      </w:r>
      <w:r>
        <w:rPr>
          <w:rFonts w:ascii="Times New Roman" w:eastAsia="Times New Roman" w:hAnsi="Times New Roman" w:cs="Times New Roman"/>
          <w:sz w:val="24"/>
          <w:szCs w:val="24"/>
        </w:rPr>
        <w:t xml:space="preserve"> in</w:t>
      </w:r>
      <w:r w:rsidRPr="007A6B44">
        <w:rPr>
          <w:rFonts w:ascii="Times New Roman" w:eastAsia="Times New Roman" w:hAnsi="Times New Roman" w:cs="Times New Roman"/>
          <w:sz w:val="24"/>
          <w:szCs w:val="24"/>
        </w:rPr>
        <w:t xml:space="preserve"> </w:t>
      </w:r>
      <w:r w:rsidRPr="002F3401">
        <w:rPr>
          <w:rFonts w:ascii="Times New Roman" w:eastAsia="Times New Roman" w:hAnsi="Times New Roman" w:cs="Times New Roman"/>
          <w:sz w:val="24"/>
          <w:szCs w:val="24"/>
        </w:rPr>
        <w:t>independent down-sampling analyses, close to the enrichment level that we computed based on total reads</w:t>
      </w:r>
      <w:r w:rsidR="00936D4B">
        <w:rPr>
          <w:rFonts w:ascii="Times New Roman" w:eastAsia="Times New Roman" w:hAnsi="Times New Roman" w:cs="Times New Roman"/>
          <w:sz w:val="24"/>
          <w:szCs w:val="24"/>
        </w:rPr>
        <w:t xml:space="preserve"> (S9</w:t>
      </w:r>
      <w:bookmarkStart w:id="0" w:name="_GoBack"/>
      <w:bookmarkEnd w:id="0"/>
      <w:r>
        <w:rPr>
          <w:rFonts w:ascii="Times New Roman" w:eastAsia="Times New Roman" w:hAnsi="Times New Roman" w:cs="Times New Roman"/>
          <w:sz w:val="24"/>
          <w:szCs w:val="24"/>
        </w:rPr>
        <w:t xml:space="preserve"> Fig).</w:t>
      </w:r>
      <w:r w:rsidRPr="007A6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7A6B44">
        <w:rPr>
          <w:rFonts w:ascii="Times New Roman" w:eastAsia="Times New Roman" w:hAnsi="Times New Roman" w:cs="Times New Roman"/>
          <w:sz w:val="24"/>
          <w:szCs w:val="24"/>
        </w:rPr>
        <w:t>own-sampling reads in each family also did not alter the transmission pattern of heteroplasmies between mothers and children compared to results calculated using total reads</w:t>
      </w:r>
      <w:r w:rsidR="00BF33AD">
        <w:rPr>
          <w:rFonts w:ascii="Times New Roman" w:eastAsia="Times New Roman" w:hAnsi="Times New Roman" w:cs="Times New Roman"/>
          <w:sz w:val="24"/>
          <w:szCs w:val="24"/>
        </w:rPr>
        <w:t xml:space="preserve"> (Table ST</w:t>
      </w:r>
      <w:r>
        <w:rPr>
          <w:rFonts w:ascii="Times New Roman" w:eastAsia="Times New Roman" w:hAnsi="Times New Roman" w:cs="Times New Roman"/>
          <w:sz w:val="24"/>
          <w:szCs w:val="24"/>
        </w:rPr>
        <w:t>2)</w:t>
      </w:r>
      <w:r w:rsidRPr="007A6B44">
        <w:rPr>
          <w:rFonts w:ascii="Times New Roman" w:eastAsia="Times New Roman" w:hAnsi="Times New Roman" w:cs="Times New Roman"/>
          <w:sz w:val="24"/>
          <w:szCs w:val="24"/>
        </w:rPr>
        <w:t>.</w:t>
      </w:r>
    </w:p>
    <w:p w:rsidR="00CC7526" w:rsidRDefault="00CC7526" w:rsidP="00CC7526">
      <w:pPr>
        <w:spacing w:line="480" w:lineRule="auto"/>
        <w:rPr>
          <w:rFonts w:ascii="Times New Roman" w:eastAsia="Times New Roman" w:hAnsi="Times New Roman" w:cs="Times New Roman"/>
          <w:sz w:val="24"/>
          <w:szCs w:val="24"/>
        </w:rPr>
      </w:pPr>
      <w:r w:rsidRPr="007A6B44">
        <w:rPr>
          <w:rFonts w:ascii="Times New Roman" w:eastAsia="Times New Roman" w:hAnsi="Times New Roman" w:cs="Times New Roman"/>
          <w:sz w:val="24"/>
          <w:szCs w:val="24"/>
        </w:rPr>
        <w:lastRenderedPageBreak/>
        <w:t xml:space="preserve">Taken together, </w:t>
      </w:r>
      <w:r>
        <w:rPr>
          <w:rFonts w:ascii="Times New Roman" w:eastAsia="Times New Roman" w:hAnsi="Times New Roman" w:cs="Times New Roman"/>
          <w:sz w:val="24"/>
          <w:szCs w:val="24"/>
        </w:rPr>
        <w:t>these analyses</w:t>
      </w:r>
      <w:r w:rsidRPr="007A6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indicate</w:t>
      </w:r>
      <w:r w:rsidR="005E13F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7A6B44">
        <w:rPr>
          <w:rFonts w:ascii="Times New Roman" w:eastAsia="Times New Roman" w:hAnsi="Times New Roman" w:cs="Times New Roman"/>
          <w:sz w:val="24"/>
          <w:szCs w:val="24"/>
        </w:rPr>
        <w:t xml:space="preserve">that the difference in sequencing coverage in probands, siblings and mothers </w:t>
      </w:r>
      <w:r w:rsidR="005E13FD">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a source of</w:t>
      </w:r>
      <w:r w:rsidRPr="007A6B44">
        <w:rPr>
          <w:rFonts w:ascii="Times New Roman" w:eastAsia="Times New Roman" w:hAnsi="Times New Roman" w:cs="Times New Roman"/>
          <w:sz w:val="24"/>
          <w:szCs w:val="24"/>
        </w:rPr>
        <w:t xml:space="preserve"> bias</w:t>
      </w:r>
      <w:r>
        <w:rPr>
          <w:rFonts w:ascii="Times New Roman" w:eastAsia="Times New Roman" w:hAnsi="Times New Roman" w:cs="Times New Roman"/>
          <w:sz w:val="24"/>
          <w:szCs w:val="24"/>
        </w:rPr>
        <w:t>, and confirm</w:t>
      </w:r>
      <w:r w:rsidR="005E13F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validity of our </w:t>
      </w:r>
      <w:r w:rsidRPr="007A6B44">
        <w:rPr>
          <w:rFonts w:ascii="Times New Roman" w:eastAsia="Times New Roman" w:hAnsi="Times New Roman" w:cs="Times New Roman"/>
          <w:sz w:val="24"/>
          <w:szCs w:val="24"/>
        </w:rPr>
        <w:t xml:space="preserve">results </w:t>
      </w:r>
      <w:r>
        <w:rPr>
          <w:rFonts w:ascii="Times New Roman" w:eastAsia="Times New Roman" w:hAnsi="Times New Roman" w:cs="Times New Roman"/>
          <w:sz w:val="24"/>
          <w:szCs w:val="24"/>
        </w:rPr>
        <w:t>and</w:t>
      </w:r>
      <w:r w:rsidRPr="007A6B44">
        <w:rPr>
          <w:rFonts w:ascii="Times New Roman" w:eastAsia="Times New Roman" w:hAnsi="Times New Roman" w:cs="Times New Roman"/>
          <w:sz w:val="24"/>
          <w:szCs w:val="24"/>
        </w:rPr>
        <w:t xml:space="preserve"> conclusions. </w:t>
      </w:r>
    </w:p>
    <w:p w:rsidR="00CC7526" w:rsidRPr="00521ED6" w:rsidRDefault="002F6A1C" w:rsidP="00CC752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ST</w:t>
      </w:r>
      <w:r w:rsidR="00CC7526" w:rsidRPr="00521ED6">
        <w:rPr>
          <w:rFonts w:ascii="Times New Roman" w:eastAsia="Times New Roman" w:hAnsi="Times New Roman" w:cs="Times New Roman"/>
          <w:b/>
          <w:sz w:val="24"/>
          <w:szCs w:val="24"/>
        </w:rPr>
        <w:t>2. Transmission pattern of mtDNA heteroplasmies called using down-sampled reads and total reads</w:t>
      </w:r>
    </w:p>
    <w:tbl>
      <w:tblPr>
        <w:tblStyle w:val="TableGrid"/>
        <w:tblW w:w="0" w:type="auto"/>
        <w:tblLayout w:type="fixed"/>
        <w:tblLook w:val="04A0" w:firstRow="1" w:lastRow="0" w:firstColumn="1" w:lastColumn="0" w:noHBand="0" w:noVBand="1"/>
      </w:tblPr>
      <w:tblGrid>
        <w:gridCol w:w="964"/>
        <w:gridCol w:w="1583"/>
        <w:gridCol w:w="1134"/>
        <w:gridCol w:w="1559"/>
        <w:gridCol w:w="1701"/>
        <w:gridCol w:w="1689"/>
      </w:tblGrid>
      <w:tr w:rsidR="005E3483" w:rsidRPr="007A6B44" w:rsidTr="00E17AC6">
        <w:tc>
          <w:tcPr>
            <w:tcW w:w="964" w:type="dxa"/>
            <w:vAlign w:val="center"/>
          </w:tcPr>
          <w:p w:rsidR="00CC7526" w:rsidRPr="000C3206" w:rsidRDefault="00CC7526" w:rsidP="00CC7526">
            <w:pPr>
              <w:spacing w:before="120" w:after="120"/>
              <w:jc w:val="center"/>
              <w:rPr>
                <w:rFonts w:ascii="Times New Roman" w:eastAsia="Times New Roman" w:hAnsi="Times New Roman" w:cs="Times New Roman"/>
              </w:rPr>
            </w:pP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rPr>
            </w:pPr>
          </w:p>
        </w:tc>
        <w:tc>
          <w:tcPr>
            <w:tcW w:w="1134"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#hetero</w:t>
            </w:r>
            <w:r w:rsidR="005E3483">
              <w:rPr>
                <w:rFonts w:ascii="Times New Roman" w:eastAsia="Times New Roman" w:hAnsi="Times New Roman" w:cs="Times New Roman"/>
              </w:rPr>
              <w:t>-</w:t>
            </w:r>
            <w:r w:rsidRPr="000C3206">
              <w:rPr>
                <w:rFonts w:ascii="Times New Roman" w:eastAsia="Times New Roman" w:hAnsi="Times New Roman" w:cs="Times New Roman"/>
              </w:rPr>
              <w:t>plasmies</w:t>
            </w:r>
          </w:p>
        </w:tc>
        <w:tc>
          <w:tcPr>
            <w:tcW w:w="1559"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Nonsynonymous</w:t>
            </w:r>
            <w:r>
              <w:rPr>
                <w:rFonts w:ascii="Times New Roman" w:eastAsia="Times New Roman" w:hAnsi="Times New Roman" w:cs="Times New Roman"/>
              </w:rPr>
              <w:t xml:space="preserve"> </w:t>
            </w:r>
            <w:r w:rsidRPr="000C3206">
              <w:rPr>
                <w:rFonts w:ascii="Times New Roman" w:eastAsia="Times New Roman" w:hAnsi="Times New Roman" w:cs="Times New Roman"/>
              </w:rPr>
              <w:t>(%)</w:t>
            </w:r>
          </w:p>
        </w:tc>
        <w:tc>
          <w:tcPr>
            <w:tcW w:w="1701"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CADD &gt; 15</w:t>
            </w:r>
            <w:r>
              <w:rPr>
                <w:rFonts w:ascii="Times New Roman" w:eastAsia="Times New Roman" w:hAnsi="Times New Roman" w:cs="Times New Roman"/>
              </w:rPr>
              <w:t xml:space="preserve"> </w:t>
            </w:r>
            <w:r w:rsidRPr="000C3206">
              <w:rPr>
                <w:rFonts w:ascii="Times New Roman" w:eastAsia="Times New Roman" w:hAnsi="Times New Roman" w:cs="Times New Roman"/>
              </w:rPr>
              <w:t>(%)</w:t>
            </w:r>
          </w:p>
        </w:tc>
        <w:tc>
          <w:tcPr>
            <w:tcW w:w="1689"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CADD &gt; 20 (%)</w:t>
            </w:r>
          </w:p>
        </w:tc>
      </w:tr>
      <w:tr w:rsidR="005E3483" w:rsidRPr="007A6B44" w:rsidTr="00E17AC6">
        <w:tc>
          <w:tcPr>
            <w:tcW w:w="964" w:type="dxa"/>
            <w:vMerge w:val="restart"/>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Mother-Sibling</w:t>
            </w: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Untransmitted</w:t>
            </w:r>
          </w:p>
        </w:tc>
        <w:tc>
          <w:tcPr>
            <w:tcW w:w="1134"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112 (110)</w:t>
            </w:r>
          </w:p>
        </w:tc>
        <w:tc>
          <w:tcPr>
            <w:tcW w:w="155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30.1% (31.8%)</w:t>
            </w:r>
          </w:p>
        </w:tc>
        <w:tc>
          <w:tcPr>
            <w:tcW w:w="1701"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15.5% (16.4%)</w:t>
            </w:r>
          </w:p>
        </w:tc>
        <w:tc>
          <w:tcPr>
            <w:tcW w:w="168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12.8% (13.6%)</w:t>
            </w:r>
          </w:p>
        </w:tc>
      </w:tr>
      <w:tr w:rsidR="005E3483" w:rsidRPr="007A6B44" w:rsidTr="00E17AC6">
        <w:tc>
          <w:tcPr>
            <w:tcW w:w="964" w:type="dxa"/>
            <w:vMerge/>
            <w:vAlign w:val="center"/>
          </w:tcPr>
          <w:p w:rsidR="00CC7526" w:rsidRPr="000C3206" w:rsidRDefault="00CC7526" w:rsidP="00CC7526">
            <w:pPr>
              <w:spacing w:before="120" w:after="120"/>
              <w:jc w:val="center"/>
              <w:rPr>
                <w:rFonts w:ascii="Times New Roman" w:eastAsia="Times New Roman" w:hAnsi="Times New Roman" w:cs="Times New Roman"/>
              </w:rPr>
            </w:pP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Transmitted</w:t>
            </w:r>
          </w:p>
        </w:tc>
        <w:tc>
          <w:tcPr>
            <w:tcW w:w="1134"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130 (136)</w:t>
            </w:r>
          </w:p>
        </w:tc>
        <w:tc>
          <w:tcPr>
            <w:tcW w:w="155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23.1% (22.8%)</w:t>
            </w:r>
          </w:p>
        </w:tc>
        <w:tc>
          <w:tcPr>
            <w:tcW w:w="1701"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5.4% (5.1%)</w:t>
            </w:r>
          </w:p>
        </w:tc>
        <w:tc>
          <w:tcPr>
            <w:tcW w:w="168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3.9% (3.7%)</w:t>
            </w:r>
          </w:p>
        </w:tc>
      </w:tr>
      <w:tr w:rsidR="005E3483" w:rsidRPr="007A6B44" w:rsidTr="00E17AC6">
        <w:tc>
          <w:tcPr>
            <w:tcW w:w="964" w:type="dxa"/>
            <w:vMerge/>
            <w:vAlign w:val="center"/>
          </w:tcPr>
          <w:p w:rsidR="00CC7526" w:rsidRPr="000C3206" w:rsidRDefault="00CC7526" w:rsidP="00CC7526">
            <w:pPr>
              <w:spacing w:before="120" w:after="120"/>
              <w:jc w:val="center"/>
              <w:rPr>
                <w:rFonts w:ascii="Times New Roman" w:eastAsia="Times New Roman" w:hAnsi="Times New Roman" w:cs="Times New Roman"/>
              </w:rPr>
            </w:pP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i/>
              </w:rPr>
            </w:pPr>
            <w:r w:rsidRPr="000C3206">
              <w:rPr>
                <w:rFonts w:ascii="Times New Roman" w:eastAsia="Times New Roman" w:hAnsi="Times New Roman" w:cs="Times New Roman"/>
                <w:i/>
              </w:rPr>
              <w:t>De novo</w:t>
            </w:r>
          </w:p>
        </w:tc>
        <w:tc>
          <w:tcPr>
            <w:tcW w:w="1134"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99 (95)</w:t>
            </w:r>
          </w:p>
        </w:tc>
        <w:tc>
          <w:tcPr>
            <w:tcW w:w="155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22.6% (23.2%)</w:t>
            </w:r>
          </w:p>
        </w:tc>
        <w:tc>
          <w:tcPr>
            <w:tcW w:w="1701"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10.5% (11.6%)</w:t>
            </w:r>
          </w:p>
        </w:tc>
        <w:tc>
          <w:tcPr>
            <w:tcW w:w="168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8.8% (9.5%)</w:t>
            </w:r>
          </w:p>
        </w:tc>
      </w:tr>
      <w:tr w:rsidR="005E3483" w:rsidRPr="007A6B44" w:rsidTr="00E17AC6">
        <w:tc>
          <w:tcPr>
            <w:tcW w:w="964" w:type="dxa"/>
            <w:vMerge w:val="restart"/>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Mother-Proband</w:t>
            </w: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Untransmitted</w:t>
            </w:r>
          </w:p>
        </w:tc>
        <w:tc>
          <w:tcPr>
            <w:tcW w:w="1134"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123 (120)</w:t>
            </w:r>
          </w:p>
        </w:tc>
        <w:tc>
          <w:tcPr>
            <w:tcW w:w="155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21.7% (22.5%)</w:t>
            </w:r>
          </w:p>
        </w:tc>
        <w:tc>
          <w:tcPr>
            <w:tcW w:w="1701"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8.7% (9.2%)</w:t>
            </w:r>
          </w:p>
        </w:tc>
        <w:tc>
          <w:tcPr>
            <w:tcW w:w="168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6.8% (7.5%)</w:t>
            </w:r>
          </w:p>
        </w:tc>
      </w:tr>
      <w:tr w:rsidR="005E3483" w:rsidRPr="007A6B44" w:rsidTr="00E17AC6">
        <w:tc>
          <w:tcPr>
            <w:tcW w:w="964" w:type="dxa"/>
            <w:vMerge/>
            <w:vAlign w:val="center"/>
          </w:tcPr>
          <w:p w:rsidR="00CC7526" w:rsidRPr="000C3206" w:rsidRDefault="00CC7526" w:rsidP="00CC7526">
            <w:pPr>
              <w:spacing w:before="120" w:after="120"/>
              <w:jc w:val="center"/>
              <w:rPr>
                <w:rFonts w:ascii="Times New Roman" w:eastAsia="Times New Roman" w:hAnsi="Times New Roman" w:cs="Times New Roman"/>
              </w:rPr>
            </w:pP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rPr>
            </w:pPr>
            <w:r w:rsidRPr="000C3206">
              <w:rPr>
                <w:rFonts w:ascii="Times New Roman" w:eastAsia="Times New Roman" w:hAnsi="Times New Roman" w:cs="Times New Roman"/>
              </w:rPr>
              <w:t>Transmitted</w:t>
            </w:r>
          </w:p>
        </w:tc>
        <w:tc>
          <w:tcPr>
            <w:tcW w:w="1134"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119 (126)</w:t>
            </w:r>
          </w:p>
        </w:tc>
        <w:tc>
          <w:tcPr>
            <w:tcW w:w="155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31.2% (31.0%)</w:t>
            </w:r>
          </w:p>
        </w:tc>
        <w:tc>
          <w:tcPr>
            <w:tcW w:w="1701"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11.5% (11.1%)</w:t>
            </w:r>
          </w:p>
        </w:tc>
        <w:tc>
          <w:tcPr>
            <w:tcW w:w="168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9.3% (8.7%)</w:t>
            </w:r>
          </w:p>
        </w:tc>
      </w:tr>
      <w:tr w:rsidR="005E3483" w:rsidRPr="007A6B44" w:rsidTr="00E17AC6">
        <w:tc>
          <w:tcPr>
            <w:tcW w:w="964" w:type="dxa"/>
            <w:vMerge/>
            <w:vAlign w:val="center"/>
          </w:tcPr>
          <w:p w:rsidR="00CC7526" w:rsidRPr="000C3206" w:rsidRDefault="00CC7526" w:rsidP="00CC7526">
            <w:pPr>
              <w:spacing w:before="120" w:after="120"/>
              <w:jc w:val="center"/>
              <w:rPr>
                <w:rFonts w:ascii="Times New Roman" w:eastAsia="Times New Roman" w:hAnsi="Times New Roman" w:cs="Times New Roman"/>
              </w:rPr>
            </w:pPr>
          </w:p>
        </w:tc>
        <w:tc>
          <w:tcPr>
            <w:tcW w:w="1583" w:type="dxa"/>
            <w:vAlign w:val="center"/>
          </w:tcPr>
          <w:p w:rsidR="00CC7526" w:rsidRPr="000C3206" w:rsidRDefault="00CC7526" w:rsidP="00CC7526">
            <w:pPr>
              <w:spacing w:before="120" w:after="120"/>
              <w:jc w:val="center"/>
              <w:rPr>
                <w:rFonts w:ascii="Times New Roman" w:eastAsia="Times New Roman" w:hAnsi="Times New Roman" w:cs="Times New Roman"/>
                <w:i/>
              </w:rPr>
            </w:pPr>
            <w:r w:rsidRPr="000C3206">
              <w:rPr>
                <w:rFonts w:ascii="Times New Roman" w:eastAsia="Times New Roman" w:hAnsi="Times New Roman" w:cs="Times New Roman"/>
                <w:i/>
              </w:rPr>
              <w:t>De novo</w:t>
            </w:r>
          </w:p>
        </w:tc>
        <w:tc>
          <w:tcPr>
            <w:tcW w:w="1134"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117 (116)</w:t>
            </w:r>
          </w:p>
        </w:tc>
        <w:tc>
          <w:tcPr>
            <w:tcW w:w="155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32.3% (32.8%)</w:t>
            </w:r>
          </w:p>
        </w:tc>
        <w:tc>
          <w:tcPr>
            <w:tcW w:w="1701"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18.3% (19.8%)</w:t>
            </w:r>
          </w:p>
        </w:tc>
        <w:tc>
          <w:tcPr>
            <w:tcW w:w="1689" w:type="dxa"/>
            <w:vAlign w:val="center"/>
          </w:tcPr>
          <w:p w:rsidR="00CC7526" w:rsidRPr="005E3483" w:rsidRDefault="00CC7526" w:rsidP="00CC7526">
            <w:pPr>
              <w:spacing w:before="120" w:after="120"/>
              <w:jc w:val="center"/>
              <w:rPr>
                <w:rFonts w:ascii="Times New Roman" w:hAnsi="Times New Roman" w:cs="Times New Roman"/>
              </w:rPr>
            </w:pPr>
            <w:r w:rsidRPr="005E3483">
              <w:rPr>
                <w:rFonts w:ascii="Times New Roman" w:hAnsi="Times New Roman" w:cs="Times New Roman"/>
              </w:rPr>
              <w:t>13.1% (14.7%)</w:t>
            </w:r>
          </w:p>
        </w:tc>
      </w:tr>
    </w:tbl>
    <w:p w:rsidR="00CC7526" w:rsidRDefault="00CC7526" w:rsidP="00CC75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are the number or the proportion of mtDNA heteroplasmies in each category computed based on down-sampled reads and total reads. Data for down-sampled reads are averages over three independent down-sampling procedures. Data for total reads are indicated in parentheses.  </w:t>
      </w:r>
    </w:p>
    <w:p w:rsidR="00CC7526" w:rsidRPr="007A6B44" w:rsidRDefault="00CC7526" w:rsidP="00CC7526">
      <w:pPr>
        <w:spacing w:line="240" w:lineRule="auto"/>
        <w:rPr>
          <w:rFonts w:ascii="Times New Roman" w:eastAsia="Times New Roman" w:hAnsi="Times New Roman" w:cs="Times New Roman"/>
          <w:sz w:val="24"/>
          <w:szCs w:val="24"/>
        </w:rPr>
      </w:pPr>
    </w:p>
    <w:p w:rsidR="00A53B8D" w:rsidRPr="00927662" w:rsidRDefault="0005232B" w:rsidP="00CC7526">
      <w:pPr>
        <w:spacing w:after="120" w:line="480" w:lineRule="auto"/>
        <w:rPr>
          <w:rFonts w:ascii="Times New Roman" w:hAnsi="Times New Roman" w:cs="Times New Roman"/>
          <w:b/>
          <w:sz w:val="24"/>
          <w:szCs w:val="24"/>
        </w:rPr>
      </w:pPr>
      <w:r w:rsidRPr="00927662">
        <w:rPr>
          <w:rFonts w:ascii="Times New Roman" w:hAnsi="Times New Roman" w:cs="Times New Roman"/>
          <w:b/>
          <w:sz w:val="24"/>
          <w:szCs w:val="24"/>
        </w:rPr>
        <w:t>Age</w:t>
      </w:r>
      <w:r w:rsidR="001E22A9">
        <w:rPr>
          <w:rFonts w:ascii="Times New Roman" w:hAnsi="Times New Roman" w:cs="Times New Roman"/>
          <w:b/>
          <w:sz w:val="24"/>
          <w:szCs w:val="24"/>
        </w:rPr>
        <w:t>s</w:t>
      </w:r>
      <w:r w:rsidRPr="00927662">
        <w:rPr>
          <w:rFonts w:ascii="Times New Roman" w:hAnsi="Times New Roman" w:cs="Times New Roman"/>
          <w:b/>
          <w:sz w:val="24"/>
          <w:szCs w:val="24"/>
        </w:rPr>
        <w:t xml:space="preserve"> of probands and siblings</w:t>
      </w:r>
    </w:p>
    <w:p w:rsidR="00AF6193" w:rsidRDefault="00927662" w:rsidP="00001459">
      <w:pPr>
        <w:spacing w:after="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sidRPr="007A6B44">
        <w:rPr>
          <w:rFonts w:ascii="Times New Roman" w:eastAsia="Times New Roman" w:hAnsi="Times New Roman" w:cs="Times New Roman"/>
          <w:sz w:val="24"/>
          <w:szCs w:val="24"/>
        </w:rPr>
        <w:t>everal previous studies reported that mtDNA heteroplasmy pathogenicity and incidence accumulate with age</w:t>
      </w:r>
      <w:r w:rsidR="005E3483">
        <w:rPr>
          <w:rFonts w:ascii="Times New Roman" w:eastAsia="Times New Roman" w:hAnsi="Times New Roman" w:cs="Times New Roman"/>
          <w:sz w:val="24"/>
          <w:szCs w:val="24"/>
        </w:rPr>
        <w:t>,</w:t>
      </w:r>
      <w:r w:rsidRPr="007A6B44">
        <w:rPr>
          <w:rFonts w:ascii="Times New Roman" w:eastAsia="Times New Roman" w:hAnsi="Times New Roman" w:cs="Times New Roman"/>
          <w:sz w:val="24"/>
          <w:szCs w:val="24"/>
        </w:rPr>
        <w:t xml:space="preserve"> especially in elderly population</w:t>
      </w:r>
      <w:r w:rsidR="005647D1">
        <w:rPr>
          <w:rFonts w:ascii="Times New Roman" w:eastAsia="Times New Roman" w:hAnsi="Times New Roman" w:cs="Times New Roman"/>
          <w:sz w:val="24"/>
          <w:szCs w:val="24"/>
        </w:rPr>
        <w:t xml:space="preserve"> </w:t>
      </w:r>
      <w:r w:rsidR="005647D1">
        <w:rPr>
          <w:rFonts w:ascii="Times New Roman" w:eastAsia="Times New Roman" w:hAnsi="Times New Roman" w:cs="Times New Roman"/>
          <w:sz w:val="24"/>
          <w:szCs w:val="24"/>
        </w:rPr>
        <w:fldChar w:fldCharType="begin" w:fldLock="1"/>
      </w:r>
      <w:r w:rsidR="005647D1">
        <w:rPr>
          <w:rFonts w:ascii="Times New Roman" w:eastAsia="Times New Roman" w:hAnsi="Times New Roman" w:cs="Times New Roman"/>
          <w:sz w:val="24"/>
          <w:szCs w:val="24"/>
        </w:rPr>
        <w:instrText>ADDIN CSL_CITATION { "citationItems" : [ { "id" : "ITEM-1", "itemData" : { "DOI" : "10.1371/journal.pgen.1005306", "ISSN" : "15537404", "PMID" : "26172475", "abstract" : "DNA sequencing identifies common and rare genetic variants for association studies, but studies typically focus on variants in nuclear DNA and ignore the mitochondrial genome. In fact, analyzing variants in mitochondrial DNA (mtDNA) sequences presents special problems, which we resolve here with a general solution for the analysis of mtDNA in next-generation sequencing studies. The new program package comprises 1) an algorithm designed to identify mtDNA variants (i.e., homoplasmies and heteroplasmies), incorporating sequencing error rates at each base in a likelihood calculation and allowing allele fractions at a variant site to differ across individuals; and 2) an estimation of mtDNA copy number in a cell directly from whole-genome sequencing data. We also apply the methods to DNA sequence from lymphocytes of ~2,000 SardiNIA Project participants. As expected, mothers and offspring share all homoplasmies but a lesser proportion of heteroplasmies. Both homoplasmies and heteroplasmies show 5-fold higher transition/transversion ratios than variants in nuclear DNA. Also, heteroplasmy increases with age, though on average only ~1 heteroplasmy reaches the 4% level between ages 20 and 90. In addition, we find that mtDNA copy number averages ~110 copies/lymphocyte and is ~54% heritable, implying substantial genetic regulation of the level of mtDNA. Copy numbers also decrease modestly but significantly with age, and females on average have significantly more copies than males. The mtDNA copy numbers are significantly associated with waist circumference (p-value = 0.0031) and waist-hip ratio (p-value = 2.4\u00d710-5), but not with body mass index, indicating an association with central fat distribution. To our knowledge, this is the largest population analysis to date of mtDNA dynamics, revealing the age-imposed increase in heteroplasmy, the relatively high heritability of copy number, and the association of copy number with metabolic traits.", "author" : [ { "dropping-particle" : "", "family" : "Ding", "given" : "Jun", "non-dropping-particle" : "", "parse-names" : false, "suffix" : "" }, { "dropping-particle" : "", "family" : "Sidore", "given" : "Carlo", "non-dropping-particle" : "", "parse-names" : false, "suffix" : "" }, { "dropping-particle" : "", "family" : "Butler", "given" : "Thomas J.", "non-dropping-particle" : "", "parse-names" : false, "suffix" : "" }, { "dropping-particle" : "", "family" : "Wing", "given" : "Mary Kate", "non-dropping-particle" : "", "parse-names" : false, "suffix" : "" }, { "dropping-particle" : "", "family" : "Qian", "given" : "Yong", "non-dropping-particle" : "", "parse-names" : false, "suffix" : "" }, { "dropping-particle" : "", "family" : "Meirelles", "given" : "Osorio", "non-dropping-particle" : "", "parse-names" : false, "suffix" : "" }, { "dropping-particle" : "", "family" : "Busonero", "given" : "Fabio", "non-dropping-particle" : "", "parse-names" : false, "suffix" : "" }, { "dropping-particle" : "", "family" : "Tsoi", "given" : "Lam C.", "non-dropping-particle" : "", "parse-names" : false, "suffix" : "" }, { "dropping-particle" : "", "family" : "Maschio", "given" : "Andrea", "non-dropping-particle" : "", "parse-names" : false, "suffix" : "" }, { "dropping-particle" : "", "family" : "Angius", "given" : "Andrea", "non-dropping-particle" : "", "parse-names" : false, "suffix" : "" }, { "dropping-particle" : "", "family" : "Kang", "given" : "Hyun Min", "non-dropping-particle" : "", "parse-names" : false, "suffix" : "" }, { "dropping-particle" : "", "family" : "Nagaraja", "given" : "Ramaiah", "non-dropping-particle" : "", "parse-names" : false, "suffix" : "" }, { "dropping-particle" : "", "family" : "Cucca", "given" : "Francesco", "non-dropping-particle" : "", "parse-names" : false, "suffix" : "" }, { "dropping-particle" : "", "family" : "Abecasis", "given" : "Gon??alo ??R", "non-dropping-particle" : "", "parse-names" : false, "suffix" : "" }, { "dropping-particle" : "", "family" : "Schlessinger", "given" : "David", "non-dropping-particle" : "", "parse-names" : false, "suffix" : "" } ], "container-title" : "PLoS Genetics", "id" : "ITEM-1", "issue" : "7", "issued" : { "date-parts" : [ [ "2015" ] ] }, "page" : "1-18", "title" : "Assessing Mitochondrial DNA Variation and Copy Number in Lymphocytes of ~2,000 Sardinians Using Tailored Sequencing Analysis Tools", "type" : "article-journal", "volume" : "11" }, "uris" : [ "http://www.mendeley.com/documents/?uuid=7aad1fc6-db52-476d-b723-f13cbccb01ff" ] }, { "id" : "ITEM-2", "itemData" : { "DOI" : "10.1371/journal.pgen.1003990", "ISSN" : "1553-7404", "PMID" : "24339796", "abstract" : "The accumulation of heteroplasmic mitochondrial DNA (mtDNA) deletions and single nucleotide variants (SNVs) is a well-accepted facet of the biology of aging, yet comprehensive mutation spectra have not been described. To address this, we have used next generation sequencing of mtDNA-enriched libraries (Mito-Seq) to investigate mtDNA mutation spectra of putamen from young and aged donors. Frequencies of the \"common\" deletion and other \"major arc\" deletions were significantly increased in the aged cohort with the fold increase in the frequency of the common deletion exceeding that of major arc deletions. SNVs also increased with age with the highest rate of accumulation in the non-coding control region which contains elements necessary for translation and replication. Examination of predicted amino acid changes revealed a skew towards pathogenic SNVs in the coding region driven by mutation bias. Levels of the pathogenic m.3243A&gt;G tRNA mutation were also found to increase with age. Novel multimeric tandem duplications that resemble murine control region multimers and yeast \u03c1(-) mtDNAs, were identified in both young and aged specimens. Clonal \u223c50 bp deletions in the control region were found at high frequencies in aged specimens. Our results reveal the complex manner in which the mitochondrial genome alters with age and provides a foundation for studies of other tissues and disease states.", "author" : [ { "dropping-particle" : "", "family" : "Williams", "given" : "Si\u00f4n L", "non-dropping-particle" : "", "parse-names" : false, "suffix" : "" }, { "dropping-particle" : "", "family" : "Mash", "given" : "Deborah C", "non-dropping-particle" : "", "parse-names" : false, "suffix" : "" }, { "dropping-particle" : "", "family" : "Z\u00fcchner", "given" : "Stephan", "non-dropping-particle" : "", "parse-names" : false, "suffix" : "" }, { "dropping-particle" : "", "family" : "Moraes", "given" : "Carlos T", "non-dropping-particle" : "", "parse-names" : false, "suffix" : "" } ], "container-title" : "PLoS genetics", "id" : "ITEM-2", "issue" : "12", "issued" : { "date-parts" : [ [ "2013", "1" ] ] }, "page" : "e1003990", "title" : "Somatic mtDNA mutation spectra in the aging human putamen.", "type" : "article-journal", "volume" : "9" }, "uris" : [ "http://www.mendeley.com/documents/?uuid=86e059c6-d970-463e-b8b0-b70d0b41941d" ] } ], "mendeley" : { "formattedCitation" : "[1,2]", "plainTextFormattedCitation" : "[1,2]", "previouslyFormattedCitation" : "[1,2]" }, "properties" : { "noteIndex" : 0 }, "schema" : "https://github.com/citation-style-language/schema/raw/master/csl-citation.json" }</w:instrText>
      </w:r>
      <w:r w:rsidR="005647D1">
        <w:rPr>
          <w:rFonts w:ascii="Times New Roman" w:eastAsia="Times New Roman" w:hAnsi="Times New Roman" w:cs="Times New Roman"/>
          <w:sz w:val="24"/>
          <w:szCs w:val="24"/>
        </w:rPr>
        <w:fldChar w:fldCharType="separate"/>
      </w:r>
      <w:r w:rsidR="005647D1" w:rsidRPr="005E3483">
        <w:rPr>
          <w:rFonts w:ascii="Times New Roman" w:eastAsia="Times New Roman" w:hAnsi="Times New Roman" w:cs="Times New Roman"/>
          <w:noProof/>
          <w:sz w:val="24"/>
          <w:szCs w:val="24"/>
        </w:rPr>
        <w:t>[1,2]</w:t>
      </w:r>
      <w:r w:rsidR="005647D1">
        <w:rPr>
          <w:rFonts w:ascii="Times New Roman" w:eastAsia="Times New Roman" w:hAnsi="Times New Roman" w:cs="Times New Roman"/>
          <w:sz w:val="24"/>
          <w:szCs w:val="24"/>
        </w:rPr>
        <w:fldChar w:fldCharType="end"/>
      </w:r>
      <w:r w:rsidRPr="007A6B44">
        <w:rPr>
          <w:rFonts w:ascii="Times New Roman" w:eastAsia="Times New Roman" w:hAnsi="Times New Roman" w:cs="Times New Roman"/>
          <w:sz w:val="24"/>
          <w:szCs w:val="24"/>
        </w:rPr>
        <w:t xml:space="preserve">, but </w:t>
      </w:r>
      <w:r w:rsidR="008251F1">
        <w:rPr>
          <w:rFonts w:ascii="Times New Roman" w:eastAsia="Times New Roman" w:hAnsi="Times New Roman" w:cs="Times New Roman"/>
          <w:sz w:val="24"/>
          <w:szCs w:val="24"/>
        </w:rPr>
        <w:t>no evidence for</w:t>
      </w:r>
      <w:r w:rsidRPr="007A6B44">
        <w:rPr>
          <w:rFonts w:ascii="Times New Roman" w:eastAsia="Times New Roman" w:hAnsi="Times New Roman" w:cs="Times New Roman"/>
          <w:sz w:val="24"/>
          <w:szCs w:val="24"/>
        </w:rPr>
        <w:t xml:space="preserve"> </w:t>
      </w:r>
      <w:r w:rsidR="008251F1">
        <w:rPr>
          <w:rFonts w:ascii="Times New Roman" w:eastAsia="Times New Roman" w:hAnsi="Times New Roman" w:cs="Times New Roman"/>
          <w:sz w:val="24"/>
          <w:szCs w:val="24"/>
        </w:rPr>
        <w:t xml:space="preserve">the </w:t>
      </w:r>
      <w:r w:rsidRPr="007A6B44">
        <w:rPr>
          <w:rFonts w:ascii="Times New Roman" w:eastAsia="Times New Roman" w:hAnsi="Times New Roman" w:cs="Times New Roman"/>
          <w:sz w:val="24"/>
          <w:szCs w:val="24"/>
        </w:rPr>
        <w:t>correlation between age and</w:t>
      </w:r>
      <w:r w:rsidR="008E6A63">
        <w:rPr>
          <w:rFonts w:ascii="Times New Roman" w:eastAsia="Times New Roman" w:hAnsi="Times New Roman" w:cs="Times New Roman"/>
          <w:sz w:val="24"/>
          <w:szCs w:val="24"/>
        </w:rPr>
        <w:t xml:space="preserve"> mtDNA heteroplasmies</w:t>
      </w:r>
      <w:r w:rsidRPr="007A6B44">
        <w:rPr>
          <w:rFonts w:ascii="Times New Roman" w:eastAsia="Times New Roman" w:hAnsi="Times New Roman" w:cs="Times New Roman"/>
          <w:sz w:val="24"/>
          <w:szCs w:val="24"/>
        </w:rPr>
        <w:t xml:space="preserve"> was reported in children. In the 903 families included in the analysis, we found a slight but statistically significant difference in ages of autistic probands and their siblings: the average ages of probands and siblings were 9.2</w:t>
      </w:r>
      <w:r>
        <w:rPr>
          <w:rFonts w:ascii="Times New Roman" w:eastAsia="Times New Roman" w:hAnsi="Times New Roman" w:cs="Times New Roman"/>
          <w:sz w:val="24"/>
          <w:szCs w:val="24"/>
        </w:rPr>
        <w:t xml:space="preserve"> years (sd</w:t>
      </w:r>
      <w:r w:rsidRPr="007A6B44">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7A6B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9.9 years (sd=</w:t>
      </w:r>
      <w:r w:rsidRPr="007A6B44">
        <w:rPr>
          <w:rFonts w:ascii="Times New Roman" w:eastAsia="Times New Roman" w:hAnsi="Times New Roman" w:cs="Times New Roman"/>
          <w:sz w:val="24"/>
          <w:szCs w:val="24"/>
        </w:rPr>
        <w:t xml:space="preserve">4.4), respectively (paired t-test, </w:t>
      </w:r>
      <w:r w:rsidRPr="007A6B44">
        <w:rPr>
          <w:rFonts w:ascii="Times New Roman" w:eastAsia="Times New Roman" w:hAnsi="Times New Roman" w:cs="Times New Roman"/>
          <w:i/>
          <w:sz w:val="24"/>
          <w:szCs w:val="24"/>
        </w:rPr>
        <w:t>P</w:t>
      </w:r>
      <w:r>
        <w:rPr>
          <w:rFonts w:ascii="Times New Roman" w:eastAsia="Times New Roman" w:hAnsi="Times New Roman" w:cs="Times New Roman"/>
          <w:sz w:val="24"/>
          <w:szCs w:val="24"/>
        </w:rPr>
        <w:t>=1x</w:t>
      </w:r>
      <w:r w:rsidRPr="007A6B44">
        <w:rPr>
          <w:rFonts w:ascii="Times New Roman" w:eastAsia="Times New Roman" w:hAnsi="Times New Roman" w:cs="Times New Roman"/>
          <w:sz w:val="24"/>
          <w:szCs w:val="24"/>
        </w:rPr>
        <w:t>10</w:t>
      </w:r>
      <w:r w:rsidRPr="007A6B44">
        <w:rPr>
          <w:rFonts w:ascii="Times New Roman" w:eastAsia="Times New Roman" w:hAnsi="Times New Roman" w:cs="Times New Roman"/>
          <w:sz w:val="24"/>
          <w:szCs w:val="24"/>
          <w:vertAlign w:val="superscript"/>
        </w:rPr>
        <w:t>-7</w:t>
      </w:r>
      <w:r w:rsidRPr="007A6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was no significant association between age and detected heteroplasmies in neither </w:t>
      </w:r>
      <w:r w:rsidRPr="007A6B44">
        <w:rPr>
          <w:rFonts w:ascii="Times New Roman" w:eastAsia="Times New Roman" w:hAnsi="Times New Roman" w:cs="Times New Roman"/>
          <w:sz w:val="24"/>
          <w:szCs w:val="24"/>
        </w:rPr>
        <w:t xml:space="preserve">probands nor siblings (linear regression, </w:t>
      </w:r>
      <w:r w:rsidRPr="0093272D">
        <w:rPr>
          <w:rFonts w:ascii="Times New Roman" w:eastAsia="Times New Roman" w:hAnsi="Times New Roman" w:cs="Times New Roman"/>
          <w:i/>
          <w:sz w:val="24"/>
          <w:szCs w:val="24"/>
        </w:rPr>
        <w:t>P</w:t>
      </w:r>
      <w:r>
        <w:rPr>
          <w:rFonts w:ascii="Times New Roman" w:eastAsia="Times New Roman" w:hAnsi="Times New Roman" w:cs="Times New Roman"/>
          <w:sz w:val="24"/>
          <w:szCs w:val="24"/>
        </w:rPr>
        <w:t>&gt;</w:t>
      </w:r>
      <w:r w:rsidRPr="007A6B44">
        <w:rPr>
          <w:rFonts w:ascii="Times New Roman" w:eastAsia="Times New Roman" w:hAnsi="Times New Roman" w:cs="Times New Roman"/>
          <w:sz w:val="24"/>
          <w:szCs w:val="24"/>
        </w:rPr>
        <w:t>0.22). Further</w:t>
      </w:r>
      <w:r>
        <w:rPr>
          <w:rFonts w:ascii="Times New Roman" w:eastAsia="Times New Roman" w:hAnsi="Times New Roman" w:cs="Times New Roman"/>
          <w:sz w:val="24"/>
          <w:szCs w:val="24"/>
        </w:rPr>
        <w:t xml:space="preserve">more, </w:t>
      </w:r>
      <w:r w:rsidRPr="007A6B44">
        <w:rPr>
          <w:rFonts w:ascii="Times New Roman" w:eastAsia="Times New Roman" w:hAnsi="Times New Roman" w:cs="Times New Roman"/>
          <w:sz w:val="24"/>
          <w:szCs w:val="24"/>
        </w:rPr>
        <w:t xml:space="preserve">adjustment for age using </w:t>
      </w:r>
      <w:r w:rsidRPr="007A6B44">
        <w:rPr>
          <w:rFonts w:ascii="Times New Roman" w:eastAsia="Times New Roman" w:hAnsi="Times New Roman" w:cs="Times New Roman"/>
          <w:sz w:val="24"/>
          <w:szCs w:val="24"/>
        </w:rPr>
        <w:lastRenderedPageBreak/>
        <w:t xml:space="preserve">conditional logistic regression did not result in </w:t>
      </w:r>
      <w:r>
        <w:rPr>
          <w:rFonts w:ascii="Times New Roman" w:eastAsia="Times New Roman" w:hAnsi="Times New Roman" w:cs="Times New Roman"/>
          <w:sz w:val="24"/>
          <w:szCs w:val="24"/>
        </w:rPr>
        <w:t>qualitative</w:t>
      </w:r>
      <w:r w:rsidRPr="007A6B44">
        <w:rPr>
          <w:rFonts w:ascii="Times New Roman" w:eastAsia="Times New Roman" w:hAnsi="Times New Roman" w:cs="Times New Roman"/>
          <w:sz w:val="24"/>
          <w:szCs w:val="24"/>
        </w:rPr>
        <w:t xml:space="preserve"> changes in the odds ratio (OR) and the significance level of the associations between ASD and mtDNA heteroplasm</w:t>
      </w:r>
      <w:r>
        <w:rPr>
          <w:rFonts w:ascii="Times New Roman" w:eastAsia="Times New Roman" w:hAnsi="Times New Roman" w:cs="Times New Roman"/>
          <w:sz w:val="24"/>
          <w:szCs w:val="24"/>
        </w:rPr>
        <w:t xml:space="preserve">ies </w:t>
      </w:r>
      <w:r w:rsidR="0003410A">
        <w:rPr>
          <w:rFonts w:ascii="Times New Roman" w:eastAsia="Times New Roman" w:hAnsi="Times New Roman" w:cs="Times New Roman"/>
          <w:sz w:val="24"/>
          <w:szCs w:val="24"/>
        </w:rPr>
        <w:t>(Table ST</w:t>
      </w:r>
      <w:r w:rsidRPr="00521ED6">
        <w:rPr>
          <w:rFonts w:ascii="Times New Roman" w:eastAsia="Times New Roman" w:hAnsi="Times New Roman" w:cs="Times New Roman"/>
          <w:sz w:val="24"/>
          <w:szCs w:val="24"/>
        </w:rPr>
        <w:t>3).</w:t>
      </w:r>
      <w:r w:rsidRPr="007A6B44">
        <w:rPr>
          <w:rFonts w:ascii="Times New Roman" w:eastAsia="Times New Roman" w:hAnsi="Times New Roman" w:cs="Times New Roman"/>
          <w:sz w:val="24"/>
          <w:szCs w:val="24"/>
        </w:rPr>
        <w:t xml:space="preserve"> The age-adjusted ORs calculated using conditional logistic regression </w:t>
      </w:r>
      <w:r w:rsidR="0003410A">
        <w:rPr>
          <w:rFonts w:ascii="Times New Roman" w:eastAsia="Times New Roman" w:hAnsi="Times New Roman" w:cs="Times New Roman"/>
          <w:sz w:val="24"/>
          <w:szCs w:val="24"/>
        </w:rPr>
        <w:t>(Table ST</w:t>
      </w:r>
      <w:r w:rsidRPr="00521ED6">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7A6B44">
        <w:rPr>
          <w:rFonts w:ascii="Times New Roman" w:eastAsia="Times New Roman" w:hAnsi="Times New Roman" w:cs="Times New Roman"/>
          <w:sz w:val="24"/>
          <w:szCs w:val="24"/>
        </w:rPr>
        <w:t>were close to the ORs given in Table 1. As such, age should not be a confounding factor that impacted the associations between ASD and mtDNA heteroplasm</w:t>
      </w:r>
      <w:r>
        <w:rPr>
          <w:rFonts w:ascii="Times New Roman" w:eastAsia="Times New Roman" w:hAnsi="Times New Roman" w:cs="Times New Roman"/>
          <w:sz w:val="24"/>
          <w:szCs w:val="24"/>
        </w:rPr>
        <w:t>ies</w:t>
      </w:r>
      <w:r w:rsidRPr="007A6B44">
        <w:rPr>
          <w:rFonts w:ascii="Times New Roman" w:eastAsia="Times New Roman" w:hAnsi="Times New Roman" w:cs="Times New Roman"/>
          <w:sz w:val="24"/>
          <w:szCs w:val="24"/>
        </w:rPr>
        <w:t>.</w:t>
      </w:r>
    </w:p>
    <w:p w:rsidR="00001459" w:rsidRPr="00521ED6" w:rsidRDefault="0003410A" w:rsidP="006919A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ST</w:t>
      </w:r>
      <w:r w:rsidR="00001459" w:rsidRPr="00521ED6">
        <w:rPr>
          <w:rFonts w:ascii="Times New Roman" w:eastAsia="Times New Roman" w:hAnsi="Times New Roman" w:cs="Times New Roman"/>
          <w:b/>
          <w:sz w:val="24"/>
          <w:szCs w:val="24"/>
        </w:rPr>
        <w:t>3. Associations of mtDNA mutations with ASD with and without age as a covariate.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423"/>
        <w:gridCol w:w="1117"/>
        <w:gridCol w:w="2316"/>
        <w:gridCol w:w="930"/>
      </w:tblGrid>
      <w:tr w:rsidR="00001459" w:rsidRPr="007A6B44" w:rsidTr="00001459">
        <w:trPr>
          <w:trHeight w:val="360"/>
        </w:trPr>
        <w:tc>
          <w:tcPr>
            <w:tcW w:w="1068"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sz w:val="24"/>
                <w:szCs w:val="24"/>
              </w:rPr>
            </w:pPr>
          </w:p>
        </w:tc>
        <w:tc>
          <w:tcPr>
            <w:tcW w:w="2050" w:type="pct"/>
            <w:gridSpan w:val="2"/>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Model 1 (without age adjustment)</w:t>
            </w:r>
          </w:p>
        </w:tc>
        <w:tc>
          <w:tcPr>
            <w:tcW w:w="1882" w:type="pct"/>
            <w:gridSpan w:val="2"/>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Model 2 (</w:t>
            </w:r>
            <w:r>
              <w:rPr>
                <w:rFonts w:ascii="Times New Roman" w:eastAsia="Times New Roman" w:hAnsi="Times New Roman" w:cs="Times New Roman"/>
                <w:color w:val="000000"/>
                <w:sz w:val="24"/>
                <w:szCs w:val="24"/>
              </w:rPr>
              <w:t xml:space="preserve">adjusting for </w:t>
            </w:r>
            <w:r w:rsidRPr="007A6B44">
              <w:rPr>
                <w:rFonts w:ascii="Times New Roman" w:eastAsia="Times New Roman" w:hAnsi="Times New Roman" w:cs="Times New Roman"/>
                <w:color w:val="000000"/>
                <w:sz w:val="24"/>
                <w:szCs w:val="24"/>
              </w:rPr>
              <w:t>age)</w:t>
            </w:r>
          </w:p>
        </w:tc>
      </w:tr>
      <w:tr w:rsidR="00001459" w:rsidRPr="007A6B44" w:rsidTr="00001459">
        <w:trPr>
          <w:trHeight w:val="360"/>
        </w:trPr>
        <w:tc>
          <w:tcPr>
            <w:tcW w:w="1068"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Group</w:t>
            </w:r>
          </w:p>
        </w:tc>
        <w:tc>
          <w:tcPr>
            <w:tcW w:w="1404"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OR [95% CI]</w:t>
            </w:r>
          </w:p>
        </w:tc>
        <w:tc>
          <w:tcPr>
            <w:tcW w:w="647"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i/>
                <w:iCs/>
                <w:color w:val="000000"/>
                <w:sz w:val="24"/>
                <w:szCs w:val="24"/>
              </w:rPr>
            </w:pPr>
            <w:r w:rsidRPr="007A6B44">
              <w:rPr>
                <w:rFonts w:ascii="Times New Roman" w:eastAsia="Times New Roman" w:hAnsi="Times New Roman" w:cs="Times New Roman"/>
                <w:i/>
                <w:iCs/>
                <w:color w:val="000000"/>
                <w:sz w:val="24"/>
                <w:szCs w:val="24"/>
              </w:rPr>
              <w:t>P</w:t>
            </w:r>
          </w:p>
        </w:tc>
        <w:tc>
          <w:tcPr>
            <w:tcW w:w="1342"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OR [95% CI]</w:t>
            </w:r>
          </w:p>
        </w:tc>
        <w:tc>
          <w:tcPr>
            <w:tcW w:w="540"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i/>
                <w:iCs/>
                <w:color w:val="000000"/>
                <w:sz w:val="24"/>
                <w:szCs w:val="24"/>
              </w:rPr>
            </w:pPr>
            <w:r w:rsidRPr="007A6B44">
              <w:rPr>
                <w:rFonts w:ascii="Times New Roman" w:eastAsia="Times New Roman" w:hAnsi="Times New Roman" w:cs="Times New Roman"/>
                <w:i/>
                <w:iCs/>
                <w:color w:val="000000"/>
                <w:sz w:val="24"/>
                <w:szCs w:val="24"/>
              </w:rPr>
              <w:t>P</w:t>
            </w:r>
          </w:p>
        </w:tc>
      </w:tr>
      <w:tr w:rsidR="00001459" w:rsidRPr="007A6B44" w:rsidTr="00001459">
        <w:trPr>
          <w:trHeight w:val="360"/>
        </w:trPr>
        <w:tc>
          <w:tcPr>
            <w:tcW w:w="1068"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All</w:t>
            </w:r>
          </w:p>
        </w:tc>
        <w:tc>
          <w:tcPr>
            <w:tcW w:w="1404"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1.06 [0.86-1.32]</w:t>
            </w:r>
          </w:p>
        </w:tc>
        <w:tc>
          <w:tcPr>
            <w:tcW w:w="647"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0.58</w:t>
            </w:r>
          </w:p>
        </w:tc>
        <w:tc>
          <w:tcPr>
            <w:tcW w:w="1342" w:type="pct"/>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1.02 [0.82-1.27]</w:t>
            </w:r>
          </w:p>
        </w:tc>
        <w:tc>
          <w:tcPr>
            <w:tcW w:w="540" w:type="pct"/>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0.87</w:t>
            </w:r>
          </w:p>
        </w:tc>
      </w:tr>
      <w:tr w:rsidR="00001459" w:rsidRPr="007A6B44" w:rsidTr="00001459">
        <w:trPr>
          <w:trHeight w:val="360"/>
        </w:trPr>
        <w:tc>
          <w:tcPr>
            <w:tcW w:w="1068"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Nonsynonymous</w:t>
            </w:r>
          </w:p>
        </w:tc>
        <w:tc>
          <w:tcPr>
            <w:tcW w:w="1404" w:type="pct"/>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1.85 [1.19-2.89]</w:t>
            </w:r>
          </w:p>
        </w:tc>
        <w:tc>
          <w:tcPr>
            <w:tcW w:w="647"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0.0066</w:t>
            </w:r>
          </w:p>
        </w:tc>
        <w:tc>
          <w:tcPr>
            <w:tcW w:w="1342" w:type="pct"/>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1.81 [1.16-2.85]</w:t>
            </w:r>
          </w:p>
        </w:tc>
        <w:tc>
          <w:tcPr>
            <w:tcW w:w="540" w:type="pct"/>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0.0097</w:t>
            </w:r>
          </w:p>
        </w:tc>
      </w:tr>
      <w:tr w:rsidR="00001459" w:rsidRPr="007A6B44" w:rsidTr="000A563E">
        <w:trPr>
          <w:trHeight w:val="360"/>
        </w:trPr>
        <w:tc>
          <w:tcPr>
            <w:tcW w:w="1068" w:type="pct"/>
            <w:tcBorders>
              <w:bottom w:val="single" w:sz="4" w:space="0" w:color="auto"/>
            </w:tcBorders>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CADD &gt; 15</w:t>
            </w:r>
          </w:p>
        </w:tc>
        <w:tc>
          <w:tcPr>
            <w:tcW w:w="1404" w:type="pct"/>
            <w:tcBorders>
              <w:bottom w:val="single" w:sz="4" w:space="0" w:color="auto"/>
            </w:tcBorders>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2.58 [1.34-4.97]</w:t>
            </w:r>
          </w:p>
        </w:tc>
        <w:tc>
          <w:tcPr>
            <w:tcW w:w="647" w:type="pct"/>
            <w:tcBorders>
              <w:bottom w:val="single" w:sz="4" w:space="0" w:color="auto"/>
            </w:tcBorders>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0.0047</w:t>
            </w:r>
          </w:p>
        </w:tc>
        <w:tc>
          <w:tcPr>
            <w:tcW w:w="1342" w:type="pct"/>
            <w:tcBorders>
              <w:bottom w:val="single" w:sz="4" w:space="0" w:color="auto"/>
            </w:tcBorders>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2.47 [1.27-4.80]</w:t>
            </w:r>
          </w:p>
        </w:tc>
        <w:tc>
          <w:tcPr>
            <w:tcW w:w="540" w:type="pct"/>
            <w:tcBorders>
              <w:bottom w:val="single" w:sz="4" w:space="0" w:color="auto"/>
            </w:tcBorders>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0.0074</w:t>
            </w:r>
          </w:p>
        </w:tc>
      </w:tr>
      <w:tr w:rsidR="00001459" w:rsidRPr="007A6B44" w:rsidTr="000A563E">
        <w:trPr>
          <w:trHeight w:val="360"/>
        </w:trPr>
        <w:tc>
          <w:tcPr>
            <w:tcW w:w="1068" w:type="pct"/>
            <w:tcBorders>
              <w:bottom w:val="single" w:sz="4" w:space="0" w:color="auto"/>
            </w:tcBorders>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CADD &gt; 20</w:t>
            </w:r>
          </w:p>
        </w:tc>
        <w:tc>
          <w:tcPr>
            <w:tcW w:w="1404" w:type="pct"/>
            <w:tcBorders>
              <w:bottom w:val="single" w:sz="4" w:space="0" w:color="auto"/>
            </w:tcBorders>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2.55 [1.20-5.43]</w:t>
            </w:r>
          </w:p>
        </w:tc>
        <w:tc>
          <w:tcPr>
            <w:tcW w:w="647" w:type="pct"/>
            <w:tcBorders>
              <w:bottom w:val="single" w:sz="4" w:space="0" w:color="auto"/>
            </w:tcBorders>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0.015</w:t>
            </w:r>
          </w:p>
        </w:tc>
        <w:tc>
          <w:tcPr>
            <w:tcW w:w="1342" w:type="pct"/>
            <w:tcBorders>
              <w:bottom w:val="single" w:sz="4" w:space="0" w:color="auto"/>
            </w:tcBorders>
            <w:shd w:val="clear" w:color="auto" w:fill="auto"/>
            <w:noWrap/>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2.42 [1.13-5.18]</w:t>
            </w:r>
          </w:p>
        </w:tc>
        <w:tc>
          <w:tcPr>
            <w:tcW w:w="540" w:type="pct"/>
            <w:tcBorders>
              <w:bottom w:val="single" w:sz="4" w:space="0" w:color="auto"/>
            </w:tcBorders>
            <w:shd w:val="clear" w:color="auto" w:fill="auto"/>
            <w:vAlign w:val="center"/>
            <w:hideMark/>
          </w:tcPr>
          <w:p w:rsidR="00001459" w:rsidRPr="007A6B44" w:rsidRDefault="00001459" w:rsidP="00001459">
            <w:pPr>
              <w:spacing w:before="120" w:after="120" w:line="240" w:lineRule="auto"/>
              <w:jc w:val="center"/>
              <w:rPr>
                <w:rFonts w:ascii="Times New Roman" w:eastAsia="Times New Roman" w:hAnsi="Times New Roman" w:cs="Times New Roman"/>
                <w:color w:val="000000"/>
                <w:sz w:val="24"/>
                <w:szCs w:val="24"/>
              </w:rPr>
            </w:pPr>
            <w:r w:rsidRPr="007A6B44">
              <w:rPr>
                <w:rFonts w:ascii="Times New Roman" w:eastAsia="Times New Roman" w:hAnsi="Times New Roman" w:cs="Times New Roman"/>
                <w:color w:val="000000"/>
                <w:sz w:val="24"/>
                <w:szCs w:val="24"/>
              </w:rPr>
              <w:t>0.023</w:t>
            </w:r>
          </w:p>
        </w:tc>
      </w:tr>
    </w:tbl>
    <w:p w:rsidR="00001459" w:rsidRDefault="00001459" w:rsidP="00001459">
      <w:pPr>
        <w:rPr>
          <w:rFonts w:ascii="Times New Roman" w:eastAsia="Times New Roman" w:hAnsi="Times New Roman" w:cs="Times New Roman"/>
        </w:rPr>
      </w:pPr>
      <w:r w:rsidRPr="00D178E8">
        <w:rPr>
          <w:rFonts w:ascii="Times New Roman" w:eastAsia="Times New Roman" w:hAnsi="Times New Roman" w:cs="Times New Roman"/>
        </w:rPr>
        <w:t>Odds ratio (OR), 95% confidence interval (CI) of OR, and significance level (P) of associations between ASD and mtDNA heteroplasmy</w:t>
      </w:r>
      <w:r w:rsidR="004A4D42">
        <w:rPr>
          <w:rFonts w:ascii="Times New Roman" w:eastAsia="Times New Roman" w:hAnsi="Times New Roman" w:cs="Times New Roman"/>
        </w:rPr>
        <w:t xml:space="preserve"> incidence</w:t>
      </w:r>
      <w:r w:rsidRPr="00D178E8">
        <w:rPr>
          <w:rFonts w:ascii="Times New Roman" w:eastAsia="Times New Roman" w:hAnsi="Times New Roman" w:cs="Times New Roman"/>
        </w:rPr>
        <w:t xml:space="preserve"> were computed using condition logistic regression (clogit) in the R “survival” package with and without age </w:t>
      </w:r>
      <w:r>
        <w:rPr>
          <w:rFonts w:ascii="Times New Roman" w:eastAsia="Times New Roman" w:hAnsi="Times New Roman" w:cs="Times New Roman"/>
        </w:rPr>
        <w:t>as a covariate</w:t>
      </w:r>
      <w:r w:rsidRPr="00D178E8">
        <w:rPr>
          <w:rFonts w:ascii="Times New Roman" w:eastAsia="Times New Roman" w:hAnsi="Times New Roman" w:cs="Times New Roman"/>
        </w:rPr>
        <w:t>. Model 1: logit(P(ASD)) ~ heteroplasmy + strata(family). Model 2: logit(P(ASD)) ~ heteroplasmy + age + strata(family)</w:t>
      </w:r>
      <w:r>
        <w:rPr>
          <w:rFonts w:ascii="Times New Roman" w:eastAsia="Times New Roman" w:hAnsi="Times New Roman" w:cs="Times New Roman"/>
        </w:rPr>
        <w:t>; CADD: predicted pathogen</w:t>
      </w:r>
      <w:r w:rsidR="005E13FD">
        <w:rPr>
          <w:rFonts w:ascii="Times New Roman" w:eastAsia="Times New Roman" w:hAnsi="Times New Roman" w:cs="Times New Roman"/>
        </w:rPr>
        <w:t>ic mtDNA mutations with CADD P</w:t>
      </w:r>
      <w:r>
        <w:rPr>
          <w:rFonts w:ascii="Times New Roman" w:eastAsia="Times New Roman" w:hAnsi="Times New Roman" w:cs="Times New Roman"/>
        </w:rPr>
        <w:t>hred score &gt;15 or &gt;20.</w:t>
      </w:r>
    </w:p>
    <w:p w:rsidR="00173737" w:rsidRDefault="00173737" w:rsidP="00001459">
      <w:pPr>
        <w:rPr>
          <w:rFonts w:ascii="Times New Roman" w:eastAsia="Times New Roman" w:hAnsi="Times New Roman" w:cs="Times New Roman"/>
        </w:rPr>
      </w:pPr>
    </w:p>
    <w:p w:rsidR="00173737" w:rsidRDefault="00173737" w:rsidP="00001459">
      <w:pPr>
        <w:rPr>
          <w:rFonts w:ascii="Times New Roman" w:eastAsia="Times New Roman" w:hAnsi="Times New Roman" w:cs="Times New Roman"/>
          <w:b/>
          <w:sz w:val="24"/>
          <w:szCs w:val="24"/>
        </w:rPr>
      </w:pPr>
      <w:r w:rsidRPr="00173737">
        <w:rPr>
          <w:rFonts w:ascii="Times New Roman" w:eastAsia="Times New Roman" w:hAnsi="Times New Roman" w:cs="Times New Roman"/>
          <w:b/>
          <w:sz w:val="24"/>
          <w:szCs w:val="24"/>
        </w:rPr>
        <w:t>References</w:t>
      </w:r>
    </w:p>
    <w:p w:rsidR="00173737" w:rsidRPr="00173737" w:rsidRDefault="00173737" w:rsidP="00173737">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eastAsia="Times New Roman" w:hAnsi="Times New Roman" w:cs="Times New Roman"/>
          <w:b/>
          <w:sz w:val="24"/>
          <w:szCs w:val="24"/>
        </w:rPr>
        <w:fldChar w:fldCharType="begin" w:fldLock="1"/>
      </w:r>
      <w:r>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Pr="00173737">
        <w:rPr>
          <w:rFonts w:ascii="Times New Roman" w:hAnsi="Times New Roman" w:cs="Times New Roman"/>
          <w:noProof/>
          <w:sz w:val="24"/>
          <w:szCs w:val="24"/>
        </w:rPr>
        <w:t xml:space="preserve">1. </w:t>
      </w:r>
      <w:r w:rsidRPr="00173737">
        <w:rPr>
          <w:rFonts w:ascii="Times New Roman" w:hAnsi="Times New Roman" w:cs="Times New Roman"/>
          <w:noProof/>
          <w:sz w:val="24"/>
          <w:szCs w:val="24"/>
        </w:rPr>
        <w:tab/>
        <w:t>Ding J, Sidore C, Butler TJ, Wing MK, Qian Y, Meirelles O, et a</w:t>
      </w:r>
      <w:r w:rsidR="00A01953">
        <w:rPr>
          <w:rFonts w:ascii="Times New Roman" w:hAnsi="Times New Roman" w:cs="Times New Roman"/>
          <w:noProof/>
          <w:sz w:val="24"/>
          <w:szCs w:val="24"/>
        </w:rPr>
        <w:t>l. Assessing m</w:t>
      </w:r>
      <w:r w:rsidR="004C7306">
        <w:rPr>
          <w:rFonts w:ascii="Times New Roman" w:hAnsi="Times New Roman" w:cs="Times New Roman"/>
          <w:noProof/>
          <w:sz w:val="24"/>
          <w:szCs w:val="24"/>
        </w:rPr>
        <w:t>itochondrial DNA variation and copy number in l</w:t>
      </w:r>
      <w:r w:rsidRPr="00173737">
        <w:rPr>
          <w:rFonts w:ascii="Times New Roman" w:hAnsi="Times New Roman" w:cs="Times New Roman"/>
          <w:noProof/>
          <w:sz w:val="24"/>
          <w:szCs w:val="24"/>
        </w:rPr>
        <w:t>y</w:t>
      </w:r>
      <w:r w:rsidR="004C7306">
        <w:rPr>
          <w:rFonts w:ascii="Times New Roman" w:hAnsi="Times New Roman" w:cs="Times New Roman"/>
          <w:noProof/>
          <w:sz w:val="24"/>
          <w:szCs w:val="24"/>
        </w:rPr>
        <w:t>mphocytes of ~2,000 Sardinians using tailored sequencing analysis t</w:t>
      </w:r>
      <w:r w:rsidRPr="00173737">
        <w:rPr>
          <w:rFonts w:ascii="Times New Roman" w:hAnsi="Times New Roman" w:cs="Times New Roman"/>
          <w:noProof/>
          <w:sz w:val="24"/>
          <w:szCs w:val="24"/>
        </w:rPr>
        <w:t>ools. PLoS Genet. 2015;11: 1–18. doi:10.1371/journal.pgen.1005306</w:t>
      </w:r>
    </w:p>
    <w:p w:rsidR="00173737" w:rsidRPr="00173737" w:rsidRDefault="00173737" w:rsidP="00173737">
      <w:pPr>
        <w:widowControl w:val="0"/>
        <w:autoSpaceDE w:val="0"/>
        <w:autoSpaceDN w:val="0"/>
        <w:adjustRightInd w:val="0"/>
        <w:spacing w:line="240" w:lineRule="auto"/>
        <w:ind w:left="640" w:hanging="640"/>
        <w:rPr>
          <w:rFonts w:ascii="Times New Roman" w:hAnsi="Times New Roman" w:cs="Times New Roman"/>
          <w:noProof/>
          <w:sz w:val="24"/>
        </w:rPr>
      </w:pPr>
      <w:r w:rsidRPr="00173737">
        <w:rPr>
          <w:rFonts w:ascii="Times New Roman" w:hAnsi="Times New Roman" w:cs="Times New Roman"/>
          <w:noProof/>
          <w:sz w:val="24"/>
          <w:szCs w:val="24"/>
        </w:rPr>
        <w:t xml:space="preserve">2. </w:t>
      </w:r>
      <w:r w:rsidRPr="00173737">
        <w:rPr>
          <w:rFonts w:ascii="Times New Roman" w:hAnsi="Times New Roman" w:cs="Times New Roman"/>
          <w:noProof/>
          <w:sz w:val="24"/>
          <w:szCs w:val="24"/>
        </w:rPr>
        <w:tab/>
        <w:t>Williams SL, Mash DC, Züchner S, Moraes CT. Somatic mtDNA mutation spectra in the aging human putamen. PLoS Genet. 2013;9: e1003990. doi:10.1371/journal.pgen.1003990</w:t>
      </w:r>
    </w:p>
    <w:p w:rsidR="00001459" w:rsidRPr="00A53B8D" w:rsidRDefault="00173737" w:rsidP="00001459">
      <w:pPr>
        <w:rPr>
          <w:rFonts w:ascii="Times New Roman" w:hAnsi="Times New Roman" w:cs="Times New Roman"/>
        </w:rPr>
      </w:pPr>
      <w:r>
        <w:rPr>
          <w:rFonts w:ascii="Times New Roman" w:eastAsia="Times New Roman" w:hAnsi="Times New Roman" w:cs="Times New Roman"/>
          <w:b/>
          <w:sz w:val="24"/>
          <w:szCs w:val="24"/>
        </w:rPr>
        <w:fldChar w:fldCharType="end"/>
      </w:r>
    </w:p>
    <w:sectPr w:rsidR="00001459" w:rsidRPr="00A53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4C"/>
    <w:rsid w:val="00001459"/>
    <w:rsid w:val="00032457"/>
    <w:rsid w:val="0003410A"/>
    <w:rsid w:val="0005232B"/>
    <w:rsid w:val="000A563E"/>
    <w:rsid w:val="000C4A1A"/>
    <w:rsid w:val="001077C7"/>
    <w:rsid w:val="00173737"/>
    <w:rsid w:val="00183DC0"/>
    <w:rsid w:val="001C3204"/>
    <w:rsid w:val="001E22A9"/>
    <w:rsid w:val="002E0262"/>
    <w:rsid w:val="002E4B5A"/>
    <w:rsid w:val="002F6A1C"/>
    <w:rsid w:val="0034112D"/>
    <w:rsid w:val="00452B47"/>
    <w:rsid w:val="004700B0"/>
    <w:rsid w:val="004A4D42"/>
    <w:rsid w:val="004C7306"/>
    <w:rsid w:val="004D5097"/>
    <w:rsid w:val="004E1C0A"/>
    <w:rsid w:val="0055351E"/>
    <w:rsid w:val="005647D1"/>
    <w:rsid w:val="005758B2"/>
    <w:rsid w:val="005E13FD"/>
    <w:rsid w:val="005E3483"/>
    <w:rsid w:val="005F2403"/>
    <w:rsid w:val="005F31CF"/>
    <w:rsid w:val="006320F9"/>
    <w:rsid w:val="006919AC"/>
    <w:rsid w:val="006F3946"/>
    <w:rsid w:val="007978DF"/>
    <w:rsid w:val="008251F1"/>
    <w:rsid w:val="008E0D9C"/>
    <w:rsid w:val="008E6A63"/>
    <w:rsid w:val="009023D0"/>
    <w:rsid w:val="00927662"/>
    <w:rsid w:val="00936D4B"/>
    <w:rsid w:val="00972D50"/>
    <w:rsid w:val="009C3148"/>
    <w:rsid w:val="00A01953"/>
    <w:rsid w:val="00A1186E"/>
    <w:rsid w:val="00A53B8D"/>
    <w:rsid w:val="00A5627E"/>
    <w:rsid w:val="00A97BC8"/>
    <w:rsid w:val="00AE78A2"/>
    <w:rsid w:val="00AF6193"/>
    <w:rsid w:val="00AF72C1"/>
    <w:rsid w:val="00BA72BD"/>
    <w:rsid w:val="00BF33AD"/>
    <w:rsid w:val="00C33387"/>
    <w:rsid w:val="00C973ED"/>
    <w:rsid w:val="00CC7526"/>
    <w:rsid w:val="00D471DD"/>
    <w:rsid w:val="00D804C4"/>
    <w:rsid w:val="00D806CA"/>
    <w:rsid w:val="00D93F8B"/>
    <w:rsid w:val="00E17AC6"/>
    <w:rsid w:val="00ED16AF"/>
    <w:rsid w:val="00EF384C"/>
    <w:rsid w:val="00F06B8D"/>
    <w:rsid w:val="00F23116"/>
    <w:rsid w:val="00F542EE"/>
    <w:rsid w:val="00F9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1999"/>
  <w15:chartTrackingRefBased/>
  <w15:docId w15:val="{1BE2152F-876E-4217-935F-3709A304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4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Char">
    <w:name w:val="aff Char"/>
    <w:link w:val="aff"/>
    <w:locked/>
    <w:rsid w:val="002E4B5A"/>
    <w:rPr>
      <w:i/>
      <w:sz w:val="24"/>
      <w:lang w:val="en-GB"/>
    </w:rPr>
  </w:style>
  <w:style w:type="paragraph" w:customStyle="1" w:styleId="aff">
    <w:name w:val="aff"/>
    <w:basedOn w:val="Normal"/>
    <w:link w:val="affChar"/>
    <w:rsid w:val="002E4B5A"/>
    <w:pPr>
      <w:spacing w:after="240" w:line="480" w:lineRule="atLeast"/>
    </w:pPr>
    <w:rPr>
      <w:i/>
      <w:sz w:val="24"/>
      <w:lang w:val="en-GB"/>
    </w:rPr>
  </w:style>
  <w:style w:type="table" w:styleId="TableGrid">
    <w:name w:val="Table Grid"/>
    <w:basedOn w:val="TableNormal"/>
    <w:uiPriority w:val="39"/>
    <w:rsid w:val="00A5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93"/>
    <w:pPr>
      <w:ind w:left="720"/>
      <w:contextualSpacing/>
    </w:pPr>
  </w:style>
  <w:style w:type="character" w:customStyle="1" w:styleId="contextualextensionhighlight">
    <w:name w:val="contextualextensionhighlight"/>
    <w:basedOn w:val="DefaultParagraphFont"/>
    <w:rsid w:val="006F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63B2-819A-42EE-A1D8-576C8319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Yiqin Wang</dc:creator>
  <cp:keywords/>
  <dc:description/>
  <cp:lastModifiedBy>Yiqin Wang</cp:lastModifiedBy>
  <cp:revision>58</cp:revision>
  <dcterms:created xsi:type="dcterms:W3CDTF">2016-08-22T02:38:00Z</dcterms:created>
  <dcterms:modified xsi:type="dcterms:W3CDTF">2016-10-07T22:09:00Z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presley.wyq@gmail.com@www.mendeley.com</vt:lpwstr>
  </property>
  <property fmtid="{D5CDD505-2E9C-101B-9397-08002B2CF9AE}" pid="4" name="Mendeley Citation Style_1">
    <vt:lpwstr>http://www.zotero.org/styles/plos-genetics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http://csl.mendeley.com/styles/30079061/apa-2</vt:lpwstr>
  </property>
  <property fmtid="{D5CDD505-2E9C-101B-9397-08002B2CF9AE}" pid="8" name="Mendeley Recent Style Name 1_1">
    <vt:lpwstr>American Psychological Association 6th edition - Yiqin Wang</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http://www.zotero.org/styles/molecular-psychiatry</vt:lpwstr>
  </property>
  <property fmtid="{D5CDD505-2E9C-101B-9397-08002B2CF9AE}" pid="16" name="Mendeley Recent Style Name 5_1">
    <vt:lpwstr>Molecular Psychiatry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http://www.zotero.org/styles/plos-genetics</vt:lpwstr>
  </property>
  <property fmtid="{D5CDD505-2E9C-101B-9397-08002B2CF9AE}" pid="20" name="Mendeley Recent Style Name 7_1">
    <vt:lpwstr>PLOS Genetics</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