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F6" w:rsidRPr="0007718C" w:rsidRDefault="00B129F6" w:rsidP="00B129F6">
      <w:pPr>
        <w:rPr>
          <w:b/>
        </w:rPr>
      </w:pPr>
      <w:r w:rsidRPr="0007718C">
        <w:rPr>
          <w:b/>
        </w:rPr>
        <w:t>Table S9</w:t>
      </w:r>
      <w:r w:rsidRPr="0007718C">
        <w:t>.Sensitivity analysis comparing genome-wide significant SNPs associated with bone mineral density measured at four skeletal sites.</w:t>
      </w:r>
    </w:p>
    <w:tbl>
      <w:tblPr>
        <w:tblW w:w="14860" w:type="dxa"/>
        <w:tblInd w:w="94" w:type="dxa"/>
        <w:tblLook w:val="04A0" w:firstRow="1" w:lastRow="0" w:firstColumn="1" w:lastColumn="0" w:noHBand="0" w:noVBand="1"/>
      </w:tblPr>
      <w:tblGrid>
        <w:gridCol w:w="960"/>
        <w:gridCol w:w="910"/>
        <w:gridCol w:w="828"/>
        <w:gridCol w:w="873"/>
        <w:gridCol w:w="967"/>
        <w:gridCol w:w="560"/>
        <w:gridCol w:w="630"/>
        <w:gridCol w:w="630"/>
        <w:gridCol w:w="822"/>
        <w:gridCol w:w="472"/>
        <w:gridCol w:w="822"/>
        <w:gridCol w:w="621"/>
        <w:gridCol w:w="621"/>
        <w:gridCol w:w="810"/>
        <w:gridCol w:w="472"/>
        <w:gridCol w:w="858"/>
        <w:gridCol w:w="630"/>
        <w:gridCol w:w="630"/>
        <w:gridCol w:w="822"/>
        <w:gridCol w:w="472"/>
        <w:gridCol w:w="822"/>
      </w:tblGrid>
      <w:tr w:rsidR="00B129F6" w:rsidRPr="0007718C" w:rsidTr="00CF3FFE">
        <w:trPr>
          <w:trHeight w:val="25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20" w:type="dxa"/>
            <w:gridSpan w:val="5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MODEL0 (n = 9416 \ 9385*)</w:t>
            </w:r>
          </w:p>
        </w:tc>
        <w:tc>
          <w:tcPr>
            <w:tcW w:w="3320" w:type="dxa"/>
            <w:gridSpan w:val="5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MODEL 1a (n = 9416 \ 9385*)</w:t>
            </w:r>
          </w:p>
        </w:tc>
        <w:tc>
          <w:tcPr>
            <w:tcW w:w="3320" w:type="dxa"/>
            <w:gridSpan w:val="5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MODEL1b CEU (n = 7508 \ 7476*)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TRAIT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RSID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LOCUS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POS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GENE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EA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SE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A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P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bscript"/>
                <w:lang w:val="en-AU" w:eastAsia="en-AU"/>
              </w:rPr>
              <w:t>HET</w:t>
            </w:r>
          </w:p>
        </w:tc>
        <w:tc>
          <w:tcPr>
            <w:tcW w:w="62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P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A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P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bscript"/>
                <w:lang w:val="en-AU" w:eastAsia="en-AU"/>
              </w:rPr>
              <w:t>HET</w:t>
            </w:r>
          </w:p>
        </w:tc>
        <w:tc>
          <w:tcPr>
            <w:tcW w:w="63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SE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A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P</w:t>
            </w: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bscript"/>
                <w:lang w:val="en-AU" w:eastAsia="en-AU"/>
              </w:rPr>
              <w:t>HET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TBLH-BMD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rs3765350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1p36.12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22319903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WNT4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0.1073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0.0174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7.04E-10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9.32E-01</w:t>
            </w:r>
          </w:p>
        </w:tc>
        <w:tc>
          <w:tcPr>
            <w:tcW w:w="621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2.85E-10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1.00E+00</w:t>
            </w:r>
          </w:p>
        </w:tc>
        <w:tc>
          <w:tcPr>
            <w:tcW w:w="630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0.1159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4.07E-09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6.43E-01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rs6726821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2q24.3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166286360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GALNT3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3.95E-10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8.11E-01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3.22E-10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9.73E-01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6.86E-08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7.64E-01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rs7776725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7q31.31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120820357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FAM3C**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0.1593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5.67E-20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54.7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1.38E-01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0.1613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2.28E-20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57.9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1.24E-01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0.1582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1.73E-15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64.7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9.24E-02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rs7466269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9q34.11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132453905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FUBP3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3.26E-08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4.74E-01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1.09E-07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5.16E-01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0.0756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1.18E-05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1.89E-01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rs4420311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12p11.22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27875457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KLHDC5**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4.44E-08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7.03E-01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0.0843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6.08E-08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6.34E-01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4.30E-07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4.01E-01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rs17536328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13q14.11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42041029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TNFSF11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7.58E-09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5.94E-01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0.0874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5.34E-09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5.94E-01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3.07E-07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5.64E-01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rs754388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14q32.12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92185163</w:t>
            </w:r>
          </w:p>
        </w:tc>
        <w:tc>
          <w:tcPr>
            <w:tcW w:w="9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RIN3</w:t>
            </w:r>
          </w:p>
        </w:tc>
        <w:tc>
          <w:tcPr>
            <w:tcW w:w="5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0.1195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0.0201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2.96E-09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36</w:t>
            </w:r>
          </w:p>
        </w:tc>
        <w:tc>
          <w:tcPr>
            <w:tcW w:w="822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2.11E-01</w:t>
            </w:r>
          </w:p>
        </w:tc>
        <w:tc>
          <w:tcPr>
            <w:tcW w:w="621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0.1255</w:t>
            </w:r>
          </w:p>
        </w:tc>
        <w:tc>
          <w:tcPr>
            <w:tcW w:w="621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0.0202</w:t>
            </w:r>
          </w:p>
        </w:tc>
        <w:tc>
          <w:tcPr>
            <w:tcW w:w="8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5.02E-10</w:t>
            </w:r>
          </w:p>
        </w:tc>
        <w:tc>
          <w:tcPr>
            <w:tcW w:w="4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21.2</w:t>
            </w:r>
          </w:p>
        </w:tc>
        <w:tc>
          <w:tcPr>
            <w:tcW w:w="85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2.60E-01</w:t>
            </w:r>
          </w:p>
        </w:tc>
        <w:tc>
          <w:tcPr>
            <w:tcW w:w="63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0.1219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0.0223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4.83E-08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17.6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2.71E-01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LL-BMD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rs3765350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1p36.12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22319903</w:t>
            </w:r>
          </w:p>
        </w:tc>
        <w:tc>
          <w:tcPr>
            <w:tcW w:w="9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WNT4</w:t>
            </w:r>
          </w:p>
        </w:tc>
        <w:tc>
          <w:tcPr>
            <w:tcW w:w="5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0.0972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0.0175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2.89E-08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7.12E-01</w:t>
            </w:r>
          </w:p>
        </w:tc>
        <w:tc>
          <w:tcPr>
            <w:tcW w:w="621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0.0991</w:t>
            </w:r>
          </w:p>
        </w:tc>
        <w:tc>
          <w:tcPr>
            <w:tcW w:w="621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0.0175</w:t>
            </w:r>
          </w:p>
        </w:tc>
        <w:tc>
          <w:tcPr>
            <w:tcW w:w="8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1.59E-08</w:t>
            </w:r>
          </w:p>
        </w:tc>
        <w:tc>
          <w:tcPr>
            <w:tcW w:w="4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7.12E-01</w:t>
            </w:r>
          </w:p>
        </w:tc>
        <w:tc>
          <w:tcPr>
            <w:tcW w:w="630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0.1071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0.0198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6.43E-08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8.71E-01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rs2908004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7q31.31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120757005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WNT16**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3.01E-11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6.19E-01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0.0992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4.49E-11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4.66E-01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1.45E-09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1.89E-01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rs7466269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9q34.11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132453905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FUBP3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1.51E-08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4.57E-01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6.08E-08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4.77E-01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0.0793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4.76E-06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2.18E-01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rs4420311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12p11.22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27875457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KLHDC5**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3.21E-08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9.75E-01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0.0861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3.80E-08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8.75E-01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1.07E-07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4.63E-01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rs754388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14q32.12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92185163</w:t>
            </w:r>
          </w:p>
        </w:tc>
        <w:tc>
          <w:tcPr>
            <w:tcW w:w="9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RIN3</w:t>
            </w:r>
          </w:p>
        </w:tc>
        <w:tc>
          <w:tcPr>
            <w:tcW w:w="5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0.0203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1.40E-10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5.26E-01</w:t>
            </w:r>
          </w:p>
        </w:tc>
        <w:tc>
          <w:tcPr>
            <w:tcW w:w="621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0.1348</w:t>
            </w:r>
          </w:p>
        </w:tc>
        <w:tc>
          <w:tcPr>
            <w:tcW w:w="621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0.0203</w:t>
            </w:r>
          </w:p>
        </w:tc>
        <w:tc>
          <w:tcPr>
            <w:tcW w:w="8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3.14E-11</w:t>
            </w:r>
          </w:p>
        </w:tc>
        <w:tc>
          <w:tcPr>
            <w:tcW w:w="4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5.75E-01</w:t>
            </w:r>
          </w:p>
        </w:tc>
        <w:tc>
          <w:tcPr>
            <w:tcW w:w="63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0.1351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0.0224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1.75E-09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4.89E-01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UL-BMD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rs2235529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1p36.12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22323074</w:t>
            </w:r>
          </w:p>
        </w:tc>
        <w:tc>
          <w:tcPr>
            <w:tcW w:w="9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WNT4</w:t>
            </w:r>
          </w:p>
        </w:tc>
        <w:tc>
          <w:tcPr>
            <w:tcW w:w="5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0.117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0.0205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1.21E-08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3.22E-01</w:t>
            </w:r>
          </w:p>
        </w:tc>
        <w:tc>
          <w:tcPr>
            <w:tcW w:w="621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0.1181</w:t>
            </w:r>
          </w:p>
        </w:tc>
        <w:tc>
          <w:tcPr>
            <w:tcW w:w="621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0.0205</w:t>
            </w:r>
          </w:p>
        </w:tc>
        <w:tc>
          <w:tcPr>
            <w:tcW w:w="8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8.73E-09</w:t>
            </w:r>
          </w:p>
        </w:tc>
        <w:tc>
          <w:tcPr>
            <w:tcW w:w="4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3.46E-01</w:t>
            </w:r>
          </w:p>
        </w:tc>
        <w:tc>
          <w:tcPr>
            <w:tcW w:w="630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0.1173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0.0229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2.99E-07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14.7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2.79E-01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rs6726821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2q24.3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166286360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GALNT3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1.13E-08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7.07E-01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0.0818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1.69E-08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7.07E-01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0.0789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1.60E-06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8.50E-01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rs1262476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6q22.32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127028689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CENPW**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2.93E-09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72.3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5.76E-02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4.67E-09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59.1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1.18E-01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4.17E-08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64.6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9.30E-02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rs798943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7q31.31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120546135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CPED1**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0.1949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1.47E-37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5.57E-01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0.1931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6.44E-37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6.48E-01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0.2016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3.05E-32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43.8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1.82E-01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rs9525638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13q14.11</w:t>
            </w:r>
          </w:p>
        </w:tc>
        <w:tc>
          <w:tcPr>
            <w:tcW w:w="8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42026577</w:t>
            </w:r>
          </w:p>
        </w:tc>
        <w:tc>
          <w:tcPr>
            <w:tcW w:w="92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TNFSF11</w:t>
            </w:r>
          </w:p>
        </w:tc>
        <w:tc>
          <w:tcPr>
            <w:tcW w:w="56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0.0889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0.0149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2.47E-09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7.13E-01</w:t>
            </w:r>
          </w:p>
        </w:tc>
        <w:tc>
          <w:tcPr>
            <w:tcW w:w="621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0.0894</w:t>
            </w:r>
          </w:p>
        </w:tc>
        <w:tc>
          <w:tcPr>
            <w:tcW w:w="621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0.0149</w:t>
            </w:r>
          </w:p>
        </w:tc>
        <w:tc>
          <w:tcPr>
            <w:tcW w:w="8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2.04E-09</w:t>
            </w:r>
          </w:p>
        </w:tc>
        <w:tc>
          <w:tcPr>
            <w:tcW w:w="41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7.38E-01</w:t>
            </w:r>
          </w:p>
        </w:tc>
        <w:tc>
          <w:tcPr>
            <w:tcW w:w="630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0.0949</w:t>
            </w:r>
          </w:p>
        </w:tc>
        <w:tc>
          <w:tcPr>
            <w:tcW w:w="630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0.0169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1.92E-08</w:t>
            </w:r>
          </w:p>
        </w:tc>
        <w:tc>
          <w:tcPr>
            <w:tcW w:w="416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9.35E-01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SK-BMD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rs3920498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1p36.12</w:t>
            </w:r>
          </w:p>
        </w:tc>
        <w:tc>
          <w:tcPr>
            <w:tcW w:w="8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22365474</w:t>
            </w:r>
          </w:p>
        </w:tc>
        <w:tc>
          <w:tcPr>
            <w:tcW w:w="92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WNT4</w:t>
            </w:r>
          </w:p>
        </w:tc>
        <w:tc>
          <w:tcPr>
            <w:tcW w:w="56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0.1337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0.0189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1.56E-12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5.01E-01</w:t>
            </w:r>
          </w:p>
        </w:tc>
        <w:tc>
          <w:tcPr>
            <w:tcW w:w="621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0.1371</w:t>
            </w:r>
          </w:p>
        </w:tc>
        <w:tc>
          <w:tcPr>
            <w:tcW w:w="621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0.0194</w:t>
            </w:r>
          </w:p>
        </w:tc>
        <w:tc>
          <w:tcPr>
            <w:tcW w:w="8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1.57E-12</w:t>
            </w:r>
          </w:p>
        </w:tc>
        <w:tc>
          <w:tcPr>
            <w:tcW w:w="41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4.31E-01</w:t>
            </w:r>
          </w:p>
        </w:tc>
        <w:tc>
          <w:tcPr>
            <w:tcW w:w="630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0.139</w:t>
            </w:r>
          </w:p>
        </w:tc>
        <w:tc>
          <w:tcPr>
            <w:tcW w:w="630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0.0215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1.01E-10</w:t>
            </w:r>
          </w:p>
        </w:tc>
        <w:tc>
          <w:tcPr>
            <w:tcW w:w="416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4.15E-01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rs2130604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6q22.32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126862254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CENPW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3.33E-11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7.48E-01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0.1109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1.85E-10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8.42E-01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3.59E-11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27.8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2.39E-01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rs3012465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6q23.2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133392629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EYA4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8.29E-17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8.96E-01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3.59E-17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9.74E-01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1.61E-12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5.48E-01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rs13223036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7q31.31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120534544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CPED1**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0.1687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1.53E-28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9.22E-01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0.169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1.51E-28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8.20E-01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0.1652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3.24E-22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5.39E-01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rs2450083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8q24.12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120132723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COLEC10**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2.13E-11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8.20E-01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0.1025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1.75E-11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7.95E-01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0.0959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2.50E-08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3.47E-01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rs10835187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  <w:t>11p14.1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27462253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LIN7C**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1.63E-17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41.1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1.93E-01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0.1272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1.67E-17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46.5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1.72E-01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2.76E-13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73.7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5.11E-02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rs12272917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  <w:t>11q13.2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68019946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PPP6R3**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1.34E-10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53</w:t>
            </w:r>
          </w:p>
        </w:tc>
        <w:tc>
          <w:tcPr>
            <w:tcW w:w="822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1.45E-01</w:t>
            </w:r>
          </w:p>
        </w:tc>
        <w:tc>
          <w:tcPr>
            <w:tcW w:w="621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0.1094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1.15E-10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62.4</w:t>
            </w:r>
          </w:p>
        </w:tc>
        <w:tc>
          <w:tcPr>
            <w:tcW w:w="858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1.03E-01</w:t>
            </w:r>
          </w:p>
        </w:tc>
        <w:tc>
          <w:tcPr>
            <w:tcW w:w="630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0.1213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1.89E-10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3.15E-01</w:t>
            </w:r>
          </w:p>
        </w:tc>
      </w:tr>
      <w:tr w:rsidR="00B129F6" w:rsidRPr="0007718C" w:rsidTr="00CF3FFE">
        <w:trPr>
          <w:trHeight w:val="25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rs884205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AU"/>
              </w:rPr>
              <w:t>18q21.33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58205837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AU" w:eastAsia="en-AU"/>
              </w:rPr>
              <w:t>TNFRSF11A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0.1037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0.0184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1.84E-08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22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4.15E-01</w:t>
            </w:r>
          </w:p>
        </w:tc>
        <w:tc>
          <w:tcPr>
            <w:tcW w:w="621" w:type="dxa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0.1007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0.0184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AU" w:eastAsia="en-AU"/>
              </w:rPr>
              <w:t>4.73E-08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3.72E-01</w:t>
            </w:r>
          </w:p>
        </w:tc>
        <w:tc>
          <w:tcPr>
            <w:tcW w:w="630" w:type="dxa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0.1033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0.02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AU" w:eastAsia="en-AU"/>
              </w:rPr>
              <w:t>2.29E-07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37.5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F6" w:rsidRPr="0007718C" w:rsidRDefault="00B129F6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</w:pPr>
            <w:r w:rsidRPr="0007718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AU" w:eastAsia="en-AU"/>
              </w:rPr>
              <w:t>2.06E-01</w:t>
            </w:r>
          </w:p>
        </w:tc>
      </w:tr>
    </w:tbl>
    <w:p w:rsidR="00B129F6" w:rsidRDefault="00B129F6" w:rsidP="00B129F6">
      <w:pPr>
        <w:pStyle w:val="NoSpacing"/>
        <w:rPr>
          <w:i/>
          <w:lang w:eastAsia="nl-NL"/>
        </w:rPr>
      </w:pPr>
      <w:r w:rsidRPr="0007718C">
        <w:rPr>
          <w:lang w:eastAsia="nl-NL"/>
        </w:rPr>
        <w:t>(TBLH-BMD) = total-body less head BMD, (LL-BMD) = lower limb BMD, (UL-BMD) = upper limb BMD, (SK-BMD) = skull BMD. (MODEL 0) = GWAS meta-analysis performed on age-, gender-, weight- or height-adjusted BMD, (MODEL 1a) = GWAS meta-analysis performed on age-, gender-, weight- and height-adjusted BMD,  (MODEL 1b) = GWAS meta-analysis performed on age-, gender-, weight- and height-adjusted BMD measurements in individuals of European ancestry. (GENE) = closest gene, (POS) = position in the genome based on hg18, (EAF) = effect allele frequency, (</w:t>
      </w:r>
      <w:r w:rsidRPr="0007718C">
        <w:rPr>
          <w:i/>
          <w:lang w:eastAsia="nl-NL"/>
        </w:rPr>
        <w:t>β</w:t>
      </w:r>
      <w:r w:rsidRPr="0007718C">
        <w:rPr>
          <w:lang w:eastAsia="nl-NL"/>
        </w:rPr>
        <w:t>) =</w:t>
      </w:r>
      <w:r w:rsidRPr="0007718C">
        <w:t xml:space="preserve"> estimates of effect size expressed as adjusted SD per copy of the effect </w:t>
      </w:r>
      <w:r w:rsidRPr="0007718C">
        <w:rPr>
          <w:lang w:eastAsia="nl-NL"/>
        </w:rPr>
        <w:t xml:space="preserve">allele (EA), (SE) = standard error of </w:t>
      </w:r>
      <w:r w:rsidRPr="0007718C">
        <w:rPr>
          <w:i/>
          <w:lang w:eastAsia="nl-NL"/>
        </w:rPr>
        <w:t>β</w:t>
      </w:r>
      <w:r w:rsidRPr="0007718C">
        <w:rPr>
          <w:lang w:eastAsia="nl-NL"/>
        </w:rPr>
        <w:t>, (</w:t>
      </w:r>
      <w:r w:rsidRPr="0007718C">
        <w:rPr>
          <w:i/>
          <w:lang w:eastAsia="nl-NL"/>
        </w:rPr>
        <w:t>P</w:t>
      </w:r>
      <w:r w:rsidRPr="0007718C">
        <w:rPr>
          <w:lang w:eastAsia="nl-NL"/>
        </w:rPr>
        <w:t>) = pvalue, (I</w:t>
      </w:r>
      <w:r w:rsidRPr="0007718C">
        <w:rPr>
          <w:vertAlign w:val="superscript"/>
          <w:lang w:eastAsia="nl-NL"/>
        </w:rPr>
        <w:t>2</w:t>
      </w:r>
      <w:r w:rsidRPr="0007718C">
        <w:rPr>
          <w:lang w:eastAsia="nl-NL"/>
        </w:rPr>
        <w:t xml:space="preserve">) = </w:t>
      </w:r>
      <w:r w:rsidRPr="0007718C">
        <w:rPr>
          <w:bCs/>
        </w:rPr>
        <w:t>Cochran’s Q statistic evaluating heterogeneity, (</w:t>
      </w:r>
      <w:r w:rsidRPr="0007718C">
        <w:rPr>
          <w:bCs/>
          <w:i/>
        </w:rPr>
        <w:t>P</w:t>
      </w:r>
      <w:r w:rsidRPr="0007718C">
        <w:rPr>
          <w:bCs/>
          <w:vertAlign w:val="subscript"/>
        </w:rPr>
        <w:t>HET</w:t>
      </w:r>
      <w:r w:rsidRPr="0007718C">
        <w:rPr>
          <w:bCs/>
        </w:rPr>
        <w:t>) = evidence of heterogeneity</w:t>
      </w:r>
      <w:r w:rsidRPr="0007718C">
        <w:rPr>
          <w:lang w:eastAsia="nl-NL"/>
        </w:rPr>
        <w:t xml:space="preserve"> and</w:t>
      </w:r>
      <w:r w:rsidRPr="0007718C">
        <w:rPr>
          <w:vertAlign w:val="superscript"/>
          <w:lang w:eastAsia="nl-NL"/>
        </w:rPr>
        <w:t xml:space="preserve"> *</w:t>
      </w:r>
      <w:r w:rsidRPr="0007718C">
        <w:rPr>
          <w:lang w:eastAsia="nl-NL"/>
        </w:rPr>
        <w:t xml:space="preserve">Sample sizes used for SK-BMD genome-wide meta-analysis. </w:t>
      </w:r>
      <w:r w:rsidRPr="0007718C">
        <w:rPr>
          <w:iCs/>
          <w:lang w:eastAsia="nl-NL"/>
        </w:rPr>
        <w:t>*</w:t>
      </w:r>
      <w:r w:rsidRPr="0007718C">
        <w:rPr>
          <w:lang w:eastAsia="nl-NL"/>
        </w:rPr>
        <w:t xml:space="preserve">*Please note that </w:t>
      </w:r>
      <w:r w:rsidRPr="0007718C">
        <w:rPr>
          <w:i/>
          <w:lang w:eastAsia="nl-NL"/>
        </w:rPr>
        <w:t>PTHLH</w:t>
      </w:r>
      <w:r w:rsidRPr="0007718C">
        <w:rPr>
          <w:lang w:eastAsia="nl-NL"/>
        </w:rPr>
        <w:t xml:space="preserve"> is also located at the 12p11.22 locus containing </w:t>
      </w:r>
      <w:r w:rsidRPr="0007718C">
        <w:rPr>
          <w:i/>
          <w:lang w:eastAsia="nl-NL"/>
        </w:rPr>
        <w:t>KLHDC5, RSPO3</w:t>
      </w:r>
      <w:r w:rsidRPr="0007718C">
        <w:rPr>
          <w:lang w:eastAsia="nl-NL"/>
        </w:rPr>
        <w:t xml:space="preserve"> is also located at the 6q.22.32 locus containing </w:t>
      </w:r>
      <w:r w:rsidRPr="0007718C">
        <w:rPr>
          <w:i/>
          <w:lang w:eastAsia="nl-NL"/>
        </w:rPr>
        <w:t>CENPW, FAM3C and CPED1</w:t>
      </w:r>
      <w:r w:rsidRPr="0007718C">
        <w:rPr>
          <w:lang w:eastAsia="nl-NL"/>
        </w:rPr>
        <w:t xml:space="preserve"> are also located at the 7q.31.31 locus containing </w:t>
      </w:r>
      <w:r w:rsidRPr="0007718C">
        <w:rPr>
          <w:i/>
          <w:lang w:eastAsia="nl-NL"/>
        </w:rPr>
        <w:t>WNT16</w:t>
      </w:r>
      <w:r w:rsidRPr="0007718C">
        <w:rPr>
          <w:lang w:eastAsia="nl-NL"/>
        </w:rPr>
        <w:t>,</w:t>
      </w:r>
      <w:r w:rsidRPr="0007718C">
        <w:rPr>
          <w:i/>
          <w:lang w:eastAsia="nl-NL"/>
        </w:rPr>
        <w:t xml:space="preserve"> TNFRSF11B</w:t>
      </w:r>
      <w:r w:rsidRPr="0007718C">
        <w:rPr>
          <w:lang w:eastAsia="nl-NL"/>
        </w:rPr>
        <w:t xml:space="preserve"> is also located at the 8q.24.12 locus containing </w:t>
      </w:r>
      <w:r w:rsidRPr="0007718C">
        <w:rPr>
          <w:i/>
          <w:lang w:eastAsia="nl-NL"/>
        </w:rPr>
        <w:t>COLEC10, LGR4</w:t>
      </w:r>
      <w:r w:rsidRPr="0007718C">
        <w:rPr>
          <w:lang w:eastAsia="nl-NL"/>
        </w:rPr>
        <w:t xml:space="preserve"> is also located at the 11p14.1 locus containing </w:t>
      </w:r>
      <w:r w:rsidRPr="0007718C">
        <w:rPr>
          <w:i/>
          <w:lang w:eastAsia="nl-NL"/>
        </w:rPr>
        <w:t xml:space="preserve">LIN7C </w:t>
      </w:r>
      <w:r w:rsidRPr="0007718C">
        <w:rPr>
          <w:lang w:eastAsia="nl-NL"/>
        </w:rPr>
        <w:t xml:space="preserve">and </w:t>
      </w:r>
      <w:r w:rsidRPr="0007718C">
        <w:rPr>
          <w:i/>
          <w:lang w:eastAsia="nl-NL"/>
        </w:rPr>
        <w:t>LRP5</w:t>
      </w:r>
      <w:r w:rsidRPr="0007718C">
        <w:rPr>
          <w:lang w:eastAsia="nl-NL"/>
        </w:rPr>
        <w:t xml:space="preserve"> is also located at the 11q13.2 locus containing </w:t>
      </w:r>
      <w:r w:rsidRPr="0007718C">
        <w:rPr>
          <w:i/>
          <w:lang w:eastAsia="nl-NL"/>
        </w:rPr>
        <w:t>PPP6R3.</w:t>
      </w:r>
      <w:r w:rsidRPr="000046D6">
        <w:rPr>
          <w:lang w:eastAsia="nl-NL"/>
        </w:rPr>
        <w:t xml:space="preserve">  </w:t>
      </w:r>
      <w:r w:rsidRPr="000046D6">
        <w:rPr>
          <w:i/>
          <w:lang w:eastAsia="nl-NL"/>
        </w:rPr>
        <w:t xml:space="preserve">     </w:t>
      </w:r>
    </w:p>
    <w:p w:rsidR="00F31EB3" w:rsidRPr="00B129F6" w:rsidRDefault="00F31EB3" w:rsidP="00B129F6">
      <w:bookmarkStart w:id="0" w:name="_GoBack"/>
      <w:bookmarkEnd w:id="0"/>
    </w:p>
    <w:sectPr w:rsidR="00F31EB3" w:rsidRPr="00B129F6" w:rsidSect="00433E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0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363E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117DB3"/>
    <w:multiLevelType w:val="hybridMultilevel"/>
    <w:tmpl w:val="00A64AC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60C381F"/>
    <w:multiLevelType w:val="hybridMultilevel"/>
    <w:tmpl w:val="880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93E1C"/>
    <w:multiLevelType w:val="multilevel"/>
    <w:tmpl w:val="EB8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45CAA"/>
    <w:multiLevelType w:val="multilevel"/>
    <w:tmpl w:val="0809001D"/>
    <w:numStyleLink w:val="Style1"/>
  </w:abstractNum>
  <w:abstractNum w:abstractNumId="7">
    <w:nsid w:val="09A52159"/>
    <w:multiLevelType w:val="hybridMultilevel"/>
    <w:tmpl w:val="AC5CCC38"/>
    <w:lvl w:ilvl="0" w:tplc="FAF89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EF6"/>
    <w:multiLevelType w:val="hybridMultilevel"/>
    <w:tmpl w:val="DD023ADC"/>
    <w:lvl w:ilvl="0" w:tplc="D4566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178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443B3F"/>
    <w:multiLevelType w:val="multilevel"/>
    <w:tmpl w:val="1BD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85FEB"/>
    <w:multiLevelType w:val="hybridMultilevel"/>
    <w:tmpl w:val="F940B9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19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490329"/>
    <w:multiLevelType w:val="multilevel"/>
    <w:tmpl w:val="D98A37C0"/>
    <w:styleLink w:val="Headings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30E41D2"/>
    <w:multiLevelType w:val="hybridMultilevel"/>
    <w:tmpl w:val="ACEC6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DC7"/>
    <w:multiLevelType w:val="hybridMultilevel"/>
    <w:tmpl w:val="AF48CB6E"/>
    <w:lvl w:ilvl="0" w:tplc="E4ECD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91B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3C4FDC"/>
    <w:multiLevelType w:val="hybridMultilevel"/>
    <w:tmpl w:val="4F304DAA"/>
    <w:lvl w:ilvl="0" w:tplc="329AB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5446"/>
    <w:multiLevelType w:val="hybridMultilevel"/>
    <w:tmpl w:val="A51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52D59"/>
    <w:multiLevelType w:val="multilevel"/>
    <w:tmpl w:val="DA6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2958"/>
    <w:multiLevelType w:val="hybridMultilevel"/>
    <w:tmpl w:val="7C460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79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9D4E2B"/>
    <w:multiLevelType w:val="hybridMultilevel"/>
    <w:tmpl w:val="812AB082"/>
    <w:lvl w:ilvl="0" w:tplc="FD94A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3CD7"/>
    <w:multiLevelType w:val="hybridMultilevel"/>
    <w:tmpl w:val="C166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747D4"/>
    <w:multiLevelType w:val="hybridMultilevel"/>
    <w:tmpl w:val="BA3C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26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253E06"/>
    <w:multiLevelType w:val="hybridMultilevel"/>
    <w:tmpl w:val="04E2D4DA"/>
    <w:lvl w:ilvl="0" w:tplc="29B46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25"/>
  </w:num>
  <w:num w:numId="6">
    <w:abstractNumId w:val="2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0"/>
  </w:num>
  <w:num w:numId="23">
    <w:abstractNumId w:val="3"/>
  </w:num>
  <w:num w:numId="24">
    <w:abstractNumId w:val="18"/>
  </w:num>
  <w:num w:numId="25">
    <w:abstractNumId w:val="24"/>
  </w:num>
  <w:num w:numId="26">
    <w:abstractNumId w:val="8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9"/>
    <w:rsid w:val="00064129"/>
    <w:rsid w:val="00182832"/>
    <w:rsid w:val="00433E39"/>
    <w:rsid w:val="004A33AE"/>
    <w:rsid w:val="00972ED9"/>
    <w:rsid w:val="00B129F6"/>
    <w:rsid w:val="00B172BD"/>
    <w:rsid w:val="00D032A9"/>
    <w:rsid w:val="00DE7E86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0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4369</Characters>
  <Application>Microsoft Macintosh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2</cp:revision>
  <dcterms:created xsi:type="dcterms:W3CDTF">2014-03-20T11:38:00Z</dcterms:created>
  <dcterms:modified xsi:type="dcterms:W3CDTF">2014-03-20T11:38:00Z</dcterms:modified>
</cp:coreProperties>
</file>