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707C" w14:textId="77777777" w:rsidR="002C3344" w:rsidRPr="002A2701" w:rsidRDefault="002C3344" w:rsidP="002C3344">
      <w:pPr>
        <w:pStyle w:val="Legend"/>
        <w:spacing w:before="120"/>
      </w:pPr>
      <w:r w:rsidRPr="002A2701">
        <w:rPr>
          <w:b/>
        </w:rPr>
        <w:t xml:space="preserve">Table </w:t>
      </w:r>
      <w:r>
        <w:rPr>
          <w:b/>
        </w:rPr>
        <w:t>S</w:t>
      </w:r>
      <w:r w:rsidRPr="002A2701">
        <w:rPr>
          <w:b/>
        </w:rPr>
        <w:t>1.</w:t>
      </w:r>
      <w:r w:rsidRPr="002A2701">
        <w:t xml:space="preserve"> Much higher proportion of functional variation in </w:t>
      </w:r>
      <w:proofErr w:type="spellStart"/>
      <w:r w:rsidRPr="002A2701">
        <w:t>BrCa</w:t>
      </w:r>
      <w:proofErr w:type="spellEnd"/>
      <w:r w:rsidRPr="002A2701">
        <w:t xml:space="preserve"> somatic substitutions compared to </w:t>
      </w:r>
      <w:proofErr w:type="spellStart"/>
      <w:r w:rsidRPr="002A2701">
        <w:t>germline</w:t>
      </w:r>
      <w:proofErr w:type="spellEnd"/>
      <w:r w:rsidRPr="002A2701">
        <w:t xml:space="preserve"> substitutions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99"/>
        <w:gridCol w:w="944"/>
        <w:gridCol w:w="850"/>
        <w:gridCol w:w="992"/>
        <w:gridCol w:w="993"/>
        <w:gridCol w:w="1134"/>
        <w:gridCol w:w="992"/>
        <w:gridCol w:w="992"/>
        <w:gridCol w:w="1134"/>
      </w:tblGrid>
      <w:tr w:rsidR="00DA2887" w:rsidRPr="004C7CE5" w14:paraId="1B318506" w14:textId="77777777" w:rsidTr="00DA2887">
        <w:trPr>
          <w:trHeight w:val="207"/>
        </w:trPr>
        <w:tc>
          <w:tcPr>
            <w:tcW w:w="1277" w:type="dxa"/>
            <w:vMerge w:val="restart"/>
            <w:shd w:val="clear" w:color="auto" w:fill="auto"/>
          </w:tcPr>
          <w:p w14:paraId="10EA2003" w14:textId="77777777" w:rsidR="002C3344" w:rsidRPr="00DA2887" w:rsidRDefault="002C3344" w:rsidP="00544811">
            <w:pPr>
              <w:pStyle w:val="Legend"/>
              <w:spacing w:before="120"/>
              <w:rPr>
                <w:sz w:val="22"/>
                <w:szCs w:val="22"/>
              </w:rPr>
            </w:pPr>
          </w:p>
        </w:tc>
        <w:tc>
          <w:tcPr>
            <w:tcW w:w="2693" w:type="dxa"/>
            <w:gridSpan w:val="3"/>
            <w:shd w:val="clear" w:color="auto" w:fill="auto"/>
          </w:tcPr>
          <w:p w14:paraId="00DADA33" w14:textId="77777777" w:rsidR="002C3344" w:rsidRPr="00DA2887" w:rsidRDefault="002C3344" w:rsidP="00544811">
            <w:pPr>
              <w:pStyle w:val="Legend"/>
              <w:spacing w:before="120"/>
              <w:rPr>
                <w:sz w:val="22"/>
                <w:szCs w:val="22"/>
              </w:rPr>
            </w:pPr>
            <w:r w:rsidRPr="00DA2887">
              <w:rPr>
                <w:sz w:val="22"/>
                <w:szCs w:val="22"/>
              </w:rPr>
              <w:t xml:space="preserve">Non-synonymous vs. synonymous </w:t>
            </w:r>
          </w:p>
        </w:tc>
        <w:tc>
          <w:tcPr>
            <w:tcW w:w="3119" w:type="dxa"/>
            <w:gridSpan w:val="3"/>
            <w:shd w:val="clear" w:color="auto" w:fill="auto"/>
          </w:tcPr>
          <w:p w14:paraId="66F19876" w14:textId="77777777" w:rsidR="002C3344" w:rsidRPr="00DA2887" w:rsidRDefault="002C3344" w:rsidP="00544811">
            <w:pPr>
              <w:pStyle w:val="Legend"/>
              <w:spacing w:before="120"/>
              <w:rPr>
                <w:sz w:val="22"/>
                <w:szCs w:val="22"/>
              </w:rPr>
            </w:pPr>
            <w:r w:rsidRPr="00DA2887">
              <w:rPr>
                <w:sz w:val="22"/>
                <w:szCs w:val="22"/>
              </w:rPr>
              <w:t>SIFT</w:t>
            </w:r>
          </w:p>
        </w:tc>
        <w:tc>
          <w:tcPr>
            <w:tcW w:w="3118" w:type="dxa"/>
            <w:gridSpan w:val="3"/>
            <w:shd w:val="clear" w:color="auto" w:fill="auto"/>
          </w:tcPr>
          <w:p w14:paraId="5D72E113" w14:textId="77777777" w:rsidR="002C3344" w:rsidRPr="00DA2887" w:rsidRDefault="002C3344" w:rsidP="00544811">
            <w:pPr>
              <w:pStyle w:val="Legend"/>
              <w:spacing w:before="120"/>
              <w:ind w:left="-73" w:right="-2427"/>
              <w:rPr>
                <w:sz w:val="22"/>
                <w:szCs w:val="22"/>
              </w:rPr>
            </w:pPr>
            <w:proofErr w:type="spellStart"/>
            <w:r w:rsidRPr="00DA2887">
              <w:rPr>
                <w:sz w:val="22"/>
                <w:szCs w:val="22"/>
              </w:rPr>
              <w:t>Polyphen</w:t>
            </w:r>
            <w:proofErr w:type="spellEnd"/>
          </w:p>
        </w:tc>
      </w:tr>
      <w:tr w:rsidR="00DA2887" w:rsidRPr="004C7CE5" w14:paraId="6DD869EA" w14:textId="77777777" w:rsidTr="00DA2887">
        <w:trPr>
          <w:trHeight w:val="206"/>
        </w:trPr>
        <w:tc>
          <w:tcPr>
            <w:tcW w:w="1277" w:type="dxa"/>
            <w:vMerge/>
            <w:shd w:val="clear" w:color="auto" w:fill="auto"/>
          </w:tcPr>
          <w:p w14:paraId="55C8F8F7" w14:textId="77777777" w:rsidR="002C3344" w:rsidRPr="00DA2887" w:rsidRDefault="002C3344" w:rsidP="00544811">
            <w:pPr>
              <w:pStyle w:val="Legend"/>
              <w:spacing w:before="120"/>
              <w:rPr>
                <w:sz w:val="22"/>
                <w:szCs w:val="22"/>
              </w:rPr>
            </w:pPr>
          </w:p>
        </w:tc>
        <w:tc>
          <w:tcPr>
            <w:tcW w:w="899" w:type="dxa"/>
            <w:shd w:val="clear" w:color="auto" w:fill="auto"/>
          </w:tcPr>
          <w:p w14:paraId="1A040801" w14:textId="77777777" w:rsidR="002C3344" w:rsidRPr="00DA2887" w:rsidRDefault="002C3344" w:rsidP="00544811">
            <w:pPr>
              <w:pStyle w:val="Legend"/>
              <w:spacing w:before="120"/>
              <w:rPr>
                <w:sz w:val="22"/>
                <w:szCs w:val="22"/>
              </w:rPr>
            </w:pPr>
            <w:r w:rsidRPr="00DA2887">
              <w:rPr>
                <w:sz w:val="22"/>
                <w:szCs w:val="22"/>
              </w:rPr>
              <w:t xml:space="preserve"># </w:t>
            </w:r>
            <w:proofErr w:type="gramStart"/>
            <w:r w:rsidRPr="00DA2887">
              <w:rPr>
                <w:sz w:val="22"/>
                <w:szCs w:val="22"/>
              </w:rPr>
              <w:t>non</w:t>
            </w:r>
            <w:proofErr w:type="gramEnd"/>
            <w:r w:rsidRPr="00DA2887">
              <w:rPr>
                <w:sz w:val="22"/>
                <w:szCs w:val="22"/>
              </w:rPr>
              <w:t>-</w:t>
            </w:r>
            <w:proofErr w:type="spellStart"/>
            <w:r w:rsidRPr="00DA2887">
              <w:rPr>
                <w:sz w:val="22"/>
                <w:szCs w:val="22"/>
              </w:rPr>
              <w:t>syn</w:t>
            </w:r>
            <w:proofErr w:type="spellEnd"/>
          </w:p>
        </w:tc>
        <w:tc>
          <w:tcPr>
            <w:tcW w:w="944" w:type="dxa"/>
            <w:shd w:val="clear" w:color="auto" w:fill="auto"/>
          </w:tcPr>
          <w:p w14:paraId="27B3D3E6" w14:textId="77777777" w:rsidR="002C3344" w:rsidRPr="00DA2887" w:rsidRDefault="002C3344" w:rsidP="00544811">
            <w:pPr>
              <w:pStyle w:val="Legend"/>
              <w:spacing w:before="120"/>
              <w:rPr>
                <w:sz w:val="22"/>
                <w:szCs w:val="22"/>
              </w:rPr>
            </w:pPr>
            <w:r w:rsidRPr="00DA2887">
              <w:rPr>
                <w:sz w:val="22"/>
                <w:szCs w:val="22"/>
              </w:rPr>
              <w:t xml:space="preserve"># </w:t>
            </w:r>
            <w:proofErr w:type="spellStart"/>
            <w:proofErr w:type="gramStart"/>
            <w:r w:rsidRPr="00DA2887">
              <w:rPr>
                <w:sz w:val="22"/>
                <w:szCs w:val="22"/>
              </w:rPr>
              <w:t>syn</w:t>
            </w:r>
            <w:proofErr w:type="spellEnd"/>
            <w:proofErr w:type="gramEnd"/>
          </w:p>
        </w:tc>
        <w:tc>
          <w:tcPr>
            <w:tcW w:w="850" w:type="dxa"/>
            <w:shd w:val="clear" w:color="auto" w:fill="auto"/>
          </w:tcPr>
          <w:p w14:paraId="38D4E79C" w14:textId="77777777" w:rsidR="002C3344" w:rsidRPr="00DA2887" w:rsidRDefault="002C3344" w:rsidP="00544811">
            <w:pPr>
              <w:pStyle w:val="Legend"/>
              <w:spacing w:before="120"/>
              <w:rPr>
                <w:sz w:val="22"/>
                <w:szCs w:val="22"/>
                <w:vertAlign w:val="superscript"/>
              </w:rPr>
            </w:pPr>
            <w:proofErr w:type="spellStart"/>
            <w:proofErr w:type="gramStart"/>
            <w:r w:rsidRPr="00DA2887">
              <w:rPr>
                <w:sz w:val="22"/>
                <w:szCs w:val="22"/>
              </w:rPr>
              <w:t>dN</w:t>
            </w:r>
            <w:proofErr w:type="spellEnd"/>
            <w:proofErr w:type="gramEnd"/>
            <w:r w:rsidRPr="00DA2887">
              <w:rPr>
                <w:sz w:val="22"/>
                <w:szCs w:val="22"/>
              </w:rPr>
              <w:t>/</w:t>
            </w:r>
            <w:proofErr w:type="spellStart"/>
            <w:r w:rsidRPr="00DA2887">
              <w:rPr>
                <w:sz w:val="22"/>
                <w:szCs w:val="22"/>
              </w:rPr>
              <w:t>dS</w:t>
            </w:r>
            <w:proofErr w:type="spellEnd"/>
          </w:p>
        </w:tc>
        <w:tc>
          <w:tcPr>
            <w:tcW w:w="992" w:type="dxa"/>
            <w:shd w:val="clear" w:color="auto" w:fill="auto"/>
          </w:tcPr>
          <w:p w14:paraId="5AC62955" w14:textId="77777777" w:rsidR="002C3344" w:rsidRPr="00DA2887" w:rsidRDefault="002C3344" w:rsidP="00544811">
            <w:pPr>
              <w:pStyle w:val="Legend"/>
              <w:spacing w:before="120"/>
              <w:rPr>
                <w:sz w:val="22"/>
                <w:szCs w:val="22"/>
              </w:rPr>
            </w:pPr>
            <w:r w:rsidRPr="00DA2887">
              <w:rPr>
                <w:sz w:val="22"/>
                <w:szCs w:val="22"/>
              </w:rPr>
              <w:t xml:space="preserve"># MF </w:t>
            </w:r>
          </w:p>
        </w:tc>
        <w:tc>
          <w:tcPr>
            <w:tcW w:w="993" w:type="dxa"/>
            <w:shd w:val="clear" w:color="auto" w:fill="auto"/>
          </w:tcPr>
          <w:p w14:paraId="7F2C7DAA" w14:textId="77777777" w:rsidR="002C3344" w:rsidRPr="00DA2887" w:rsidRDefault="002C3344" w:rsidP="00544811">
            <w:pPr>
              <w:pStyle w:val="Legend"/>
              <w:spacing w:before="120"/>
              <w:rPr>
                <w:sz w:val="22"/>
                <w:szCs w:val="22"/>
              </w:rPr>
            </w:pPr>
            <w:r w:rsidRPr="00DA2887">
              <w:rPr>
                <w:sz w:val="22"/>
                <w:szCs w:val="22"/>
              </w:rPr>
              <w:t xml:space="preserve"># LF </w:t>
            </w:r>
          </w:p>
        </w:tc>
        <w:tc>
          <w:tcPr>
            <w:tcW w:w="1134" w:type="dxa"/>
            <w:shd w:val="clear" w:color="auto" w:fill="auto"/>
          </w:tcPr>
          <w:p w14:paraId="68DDD027" w14:textId="77777777" w:rsidR="002C3344" w:rsidRPr="00DA2887" w:rsidRDefault="002C3344" w:rsidP="00544811">
            <w:pPr>
              <w:pStyle w:val="Legend"/>
              <w:spacing w:before="120"/>
              <w:rPr>
                <w:sz w:val="22"/>
                <w:szCs w:val="22"/>
                <w:vertAlign w:val="superscript"/>
              </w:rPr>
            </w:pPr>
            <w:proofErr w:type="spellStart"/>
            <w:proofErr w:type="gramStart"/>
            <w:r w:rsidRPr="00DA2887">
              <w:rPr>
                <w:sz w:val="22"/>
                <w:szCs w:val="22"/>
              </w:rPr>
              <w:t>dMF</w:t>
            </w:r>
            <w:proofErr w:type="spellEnd"/>
            <w:proofErr w:type="gramEnd"/>
            <w:r w:rsidRPr="00DA2887">
              <w:rPr>
                <w:sz w:val="22"/>
                <w:szCs w:val="22"/>
              </w:rPr>
              <w:t>/</w:t>
            </w:r>
            <w:proofErr w:type="spellStart"/>
            <w:r w:rsidRPr="00DA2887">
              <w:rPr>
                <w:sz w:val="22"/>
                <w:szCs w:val="22"/>
              </w:rPr>
              <w:t>dLF</w:t>
            </w:r>
            <w:proofErr w:type="spellEnd"/>
          </w:p>
        </w:tc>
        <w:tc>
          <w:tcPr>
            <w:tcW w:w="992" w:type="dxa"/>
            <w:shd w:val="clear" w:color="auto" w:fill="auto"/>
          </w:tcPr>
          <w:p w14:paraId="20874981" w14:textId="77777777" w:rsidR="002C3344" w:rsidRPr="00DA2887" w:rsidRDefault="002C3344" w:rsidP="00544811">
            <w:pPr>
              <w:pStyle w:val="Legend"/>
              <w:spacing w:before="120"/>
              <w:rPr>
                <w:sz w:val="22"/>
                <w:szCs w:val="22"/>
              </w:rPr>
            </w:pPr>
            <w:r w:rsidRPr="00DA2887">
              <w:rPr>
                <w:sz w:val="22"/>
                <w:szCs w:val="22"/>
              </w:rPr>
              <w:t># MF</w:t>
            </w:r>
          </w:p>
        </w:tc>
        <w:tc>
          <w:tcPr>
            <w:tcW w:w="992" w:type="dxa"/>
            <w:shd w:val="clear" w:color="auto" w:fill="auto"/>
          </w:tcPr>
          <w:p w14:paraId="011B8B78" w14:textId="77777777" w:rsidR="002C3344" w:rsidRPr="00DA2887" w:rsidRDefault="002C3344" w:rsidP="00544811">
            <w:pPr>
              <w:pStyle w:val="Legend"/>
              <w:spacing w:before="120"/>
              <w:rPr>
                <w:sz w:val="22"/>
                <w:szCs w:val="22"/>
              </w:rPr>
            </w:pPr>
            <w:r w:rsidRPr="00DA2887">
              <w:rPr>
                <w:sz w:val="22"/>
                <w:szCs w:val="22"/>
              </w:rPr>
              <w:t xml:space="preserve"># LF </w:t>
            </w:r>
          </w:p>
        </w:tc>
        <w:tc>
          <w:tcPr>
            <w:tcW w:w="1134" w:type="dxa"/>
            <w:shd w:val="clear" w:color="auto" w:fill="auto"/>
          </w:tcPr>
          <w:p w14:paraId="18C23783" w14:textId="77777777" w:rsidR="002C3344" w:rsidRPr="00DA2887" w:rsidRDefault="002C3344" w:rsidP="00544811">
            <w:pPr>
              <w:pStyle w:val="Legend"/>
              <w:spacing w:before="120"/>
              <w:rPr>
                <w:sz w:val="22"/>
                <w:szCs w:val="22"/>
                <w:vertAlign w:val="superscript"/>
              </w:rPr>
            </w:pPr>
            <w:proofErr w:type="spellStart"/>
            <w:proofErr w:type="gramStart"/>
            <w:r w:rsidRPr="00DA2887">
              <w:rPr>
                <w:sz w:val="22"/>
                <w:szCs w:val="22"/>
              </w:rPr>
              <w:t>dMF</w:t>
            </w:r>
            <w:proofErr w:type="spellEnd"/>
            <w:proofErr w:type="gramEnd"/>
            <w:r w:rsidRPr="00DA2887">
              <w:rPr>
                <w:sz w:val="22"/>
                <w:szCs w:val="22"/>
              </w:rPr>
              <w:t>/</w:t>
            </w:r>
            <w:proofErr w:type="spellStart"/>
            <w:r w:rsidRPr="00DA2887">
              <w:rPr>
                <w:sz w:val="22"/>
                <w:szCs w:val="22"/>
              </w:rPr>
              <w:t>dLF</w:t>
            </w:r>
            <w:proofErr w:type="spellEnd"/>
          </w:p>
        </w:tc>
      </w:tr>
      <w:tr w:rsidR="00DA2887" w:rsidRPr="001A1667" w14:paraId="7136E7E6" w14:textId="77777777" w:rsidTr="00DA2887">
        <w:tc>
          <w:tcPr>
            <w:tcW w:w="1277" w:type="dxa"/>
            <w:shd w:val="clear" w:color="auto" w:fill="auto"/>
          </w:tcPr>
          <w:p w14:paraId="22642CBC" w14:textId="77777777" w:rsidR="002C3344" w:rsidRPr="00DA2887" w:rsidRDefault="002C3344" w:rsidP="00544811">
            <w:pPr>
              <w:pStyle w:val="Legend"/>
              <w:spacing w:before="120"/>
              <w:rPr>
                <w:sz w:val="22"/>
                <w:szCs w:val="22"/>
              </w:rPr>
            </w:pPr>
            <w:proofErr w:type="spellStart"/>
            <w:r w:rsidRPr="00DA2887">
              <w:rPr>
                <w:sz w:val="22"/>
                <w:szCs w:val="22"/>
              </w:rPr>
              <w:t>Germline</w:t>
            </w:r>
            <w:proofErr w:type="spellEnd"/>
          </w:p>
        </w:tc>
        <w:tc>
          <w:tcPr>
            <w:tcW w:w="899" w:type="dxa"/>
            <w:shd w:val="clear" w:color="auto" w:fill="auto"/>
          </w:tcPr>
          <w:p w14:paraId="7814E7C2" w14:textId="77777777" w:rsidR="002C3344" w:rsidRPr="00DA2887" w:rsidRDefault="002C3344" w:rsidP="00544811">
            <w:pPr>
              <w:pStyle w:val="Legend"/>
              <w:spacing w:before="120"/>
              <w:rPr>
                <w:sz w:val="22"/>
                <w:szCs w:val="22"/>
              </w:rPr>
            </w:pPr>
            <w:r w:rsidRPr="00DA2887">
              <w:rPr>
                <w:sz w:val="22"/>
                <w:szCs w:val="22"/>
              </w:rPr>
              <w:t>302469</w:t>
            </w:r>
          </w:p>
        </w:tc>
        <w:tc>
          <w:tcPr>
            <w:tcW w:w="944" w:type="dxa"/>
            <w:shd w:val="clear" w:color="auto" w:fill="auto"/>
          </w:tcPr>
          <w:p w14:paraId="550BF7E9" w14:textId="77777777" w:rsidR="002C3344" w:rsidRPr="00DA2887" w:rsidRDefault="002C3344" w:rsidP="00544811">
            <w:pPr>
              <w:pStyle w:val="Legend"/>
              <w:spacing w:before="120"/>
              <w:rPr>
                <w:sz w:val="22"/>
                <w:szCs w:val="22"/>
              </w:rPr>
            </w:pPr>
            <w:r w:rsidRPr="00DA2887">
              <w:rPr>
                <w:sz w:val="22"/>
                <w:szCs w:val="22"/>
              </w:rPr>
              <w:t>210434</w:t>
            </w:r>
          </w:p>
        </w:tc>
        <w:tc>
          <w:tcPr>
            <w:tcW w:w="850" w:type="dxa"/>
            <w:shd w:val="clear" w:color="auto" w:fill="auto"/>
          </w:tcPr>
          <w:p w14:paraId="473277FE" w14:textId="77777777" w:rsidR="002C3344" w:rsidRPr="00DA2887" w:rsidRDefault="002C3344" w:rsidP="00544811">
            <w:pPr>
              <w:pStyle w:val="Legend"/>
              <w:spacing w:before="120"/>
              <w:rPr>
                <w:sz w:val="22"/>
                <w:szCs w:val="22"/>
              </w:rPr>
            </w:pPr>
            <w:r w:rsidRPr="00DA2887">
              <w:rPr>
                <w:sz w:val="22"/>
                <w:szCs w:val="22"/>
              </w:rPr>
              <w:t>0.43</w:t>
            </w:r>
          </w:p>
        </w:tc>
        <w:tc>
          <w:tcPr>
            <w:tcW w:w="992" w:type="dxa"/>
            <w:shd w:val="clear" w:color="auto" w:fill="auto"/>
          </w:tcPr>
          <w:p w14:paraId="763216A6" w14:textId="77777777" w:rsidR="002C3344" w:rsidRPr="00DA2887" w:rsidRDefault="002C3344" w:rsidP="00544811">
            <w:pPr>
              <w:pStyle w:val="Legend"/>
              <w:spacing w:before="120"/>
              <w:rPr>
                <w:sz w:val="22"/>
                <w:szCs w:val="22"/>
              </w:rPr>
            </w:pPr>
            <w:r w:rsidRPr="00DA2887">
              <w:rPr>
                <w:sz w:val="22"/>
                <w:szCs w:val="22"/>
              </w:rPr>
              <w:t>130732</w:t>
            </w:r>
          </w:p>
        </w:tc>
        <w:tc>
          <w:tcPr>
            <w:tcW w:w="993" w:type="dxa"/>
            <w:shd w:val="clear" w:color="auto" w:fill="auto"/>
          </w:tcPr>
          <w:p w14:paraId="7A9BD42A" w14:textId="77777777" w:rsidR="002C3344" w:rsidRPr="00DA2887" w:rsidRDefault="002C3344" w:rsidP="00544811">
            <w:pPr>
              <w:pStyle w:val="Legend"/>
              <w:spacing w:before="120"/>
              <w:rPr>
                <w:sz w:val="22"/>
                <w:szCs w:val="22"/>
              </w:rPr>
            </w:pPr>
            <w:r w:rsidRPr="00DA2887">
              <w:rPr>
                <w:sz w:val="22"/>
                <w:szCs w:val="22"/>
              </w:rPr>
              <w:t>171089</w:t>
            </w:r>
          </w:p>
        </w:tc>
        <w:tc>
          <w:tcPr>
            <w:tcW w:w="1134" w:type="dxa"/>
            <w:shd w:val="clear" w:color="auto" w:fill="auto"/>
          </w:tcPr>
          <w:p w14:paraId="472744D2" w14:textId="77777777" w:rsidR="002C3344" w:rsidRPr="00DA2887" w:rsidRDefault="002C3344" w:rsidP="00544811">
            <w:pPr>
              <w:spacing w:before="120"/>
              <w:rPr>
                <w:rFonts w:eastAsia="Times New Roman"/>
                <w:color w:val="000000"/>
                <w:sz w:val="22"/>
                <w:szCs w:val="22"/>
              </w:rPr>
            </w:pPr>
            <w:r w:rsidRPr="00DA2887">
              <w:rPr>
                <w:rFonts w:eastAsia="Times New Roman"/>
                <w:color w:val="000000"/>
                <w:sz w:val="22"/>
                <w:szCs w:val="22"/>
              </w:rPr>
              <w:t>1.03</w:t>
            </w:r>
          </w:p>
          <w:p w14:paraId="488805FA" w14:textId="77777777" w:rsidR="002C3344" w:rsidRPr="00DA2887" w:rsidRDefault="002C3344" w:rsidP="00544811">
            <w:pPr>
              <w:pStyle w:val="Legend"/>
              <w:spacing w:before="120"/>
              <w:rPr>
                <w:sz w:val="22"/>
                <w:szCs w:val="22"/>
              </w:rPr>
            </w:pPr>
          </w:p>
        </w:tc>
        <w:tc>
          <w:tcPr>
            <w:tcW w:w="992" w:type="dxa"/>
            <w:shd w:val="clear" w:color="auto" w:fill="auto"/>
          </w:tcPr>
          <w:p w14:paraId="255A31EC" w14:textId="77777777" w:rsidR="002C3344" w:rsidRPr="00DA2887" w:rsidRDefault="002C3344" w:rsidP="00544811">
            <w:pPr>
              <w:pStyle w:val="Legend"/>
              <w:spacing w:before="120"/>
              <w:rPr>
                <w:sz w:val="22"/>
                <w:szCs w:val="22"/>
              </w:rPr>
            </w:pPr>
            <w:r w:rsidRPr="00DA2887">
              <w:rPr>
                <w:sz w:val="22"/>
                <w:szCs w:val="22"/>
              </w:rPr>
              <w:t>103234</w:t>
            </w:r>
          </w:p>
        </w:tc>
        <w:tc>
          <w:tcPr>
            <w:tcW w:w="992" w:type="dxa"/>
            <w:shd w:val="clear" w:color="auto" w:fill="auto"/>
          </w:tcPr>
          <w:p w14:paraId="1039E602" w14:textId="77777777" w:rsidR="002C3344" w:rsidRPr="00DA2887" w:rsidRDefault="002C3344" w:rsidP="00544811">
            <w:pPr>
              <w:pStyle w:val="Legend"/>
              <w:spacing w:before="120"/>
              <w:rPr>
                <w:sz w:val="22"/>
                <w:szCs w:val="22"/>
              </w:rPr>
            </w:pPr>
            <w:r w:rsidRPr="00DA2887">
              <w:rPr>
                <w:sz w:val="22"/>
                <w:szCs w:val="22"/>
              </w:rPr>
              <w:t>172947</w:t>
            </w:r>
          </w:p>
        </w:tc>
        <w:tc>
          <w:tcPr>
            <w:tcW w:w="1134" w:type="dxa"/>
            <w:shd w:val="clear" w:color="auto" w:fill="auto"/>
          </w:tcPr>
          <w:p w14:paraId="183981D8" w14:textId="77777777" w:rsidR="002C3344" w:rsidRPr="00DA2887" w:rsidRDefault="002C3344" w:rsidP="00544811">
            <w:pPr>
              <w:pStyle w:val="Legend"/>
              <w:spacing w:before="120"/>
              <w:rPr>
                <w:sz w:val="22"/>
                <w:szCs w:val="22"/>
              </w:rPr>
            </w:pPr>
            <w:r w:rsidRPr="00DA2887">
              <w:rPr>
                <w:sz w:val="22"/>
                <w:szCs w:val="22"/>
              </w:rPr>
              <w:t>0.52</w:t>
            </w:r>
          </w:p>
        </w:tc>
      </w:tr>
      <w:tr w:rsidR="00DA2887" w:rsidRPr="001A1667" w14:paraId="1ED1EDC1" w14:textId="77777777" w:rsidTr="00DA2887">
        <w:tc>
          <w:tcPr>
            <w:tcW w:w="1277" w:type="dxa"/>
            <w:shd w:val="clear" w:color="auto" w:fill="auto"/>
          </w:tcPr>
          <w:p w14:paraId="626B57BE" w14:textId="77777777" w:rsidR="002C3344" w:rsidRPr="00DA2887" w:rsidRDefault="002C3344" w:rsidP="00544811">
            <w:pPr>
              <w:pStyle w:val="Legend"/>
              <w:spacing w:before="120"/>
              <w:rPr>
                <w:sz w:val="22"/>
                <w:szCs w:val="22"/>
                <w:vertAlign w:val="superscript"/>
              </w:rPr>
            </w:pPr>
            <w:proofErr w:type="spellStart"/>
            <w:r w:rsidRPr="00DA2887">
              <w:rPr>
                <w:sz w:val="22"/>
                <w:szCs w:val="22"/>
              </w:rPr>
              <w:t>Germline</w:t>
            </w:r>
            <w:proofErr w:type="spellEnd"/>
            <w:r w:rsidRPr="00DA2887">
              <w:rPr>
                <w:sz w:val="22"/>
                <w:szCs w:val="22"/>
              </w:rPr>
              <w:t xml:space="preserve"> (frequency &gt; </w:t>
            </w:r>
            <w:proofErr w:type="gramStart"/>
            <w:r w:rsidRPr="00DA2887">
              <w:rPr>
                <w:sz w:val="22"/>
                <w:szCs w:val="22"/>
              </w:rPr>
              <w:t>0.1)</w:t>
            </w:r>
            <w:r w:rsidRPr="00DA2887">
              <w:rPr>
                <w:sz w:val="22"/>
                <w:szCs w:val="22"/>
                <w:vertAlign w:val="superscript"/>
              </w:rPr>
              <w:t>a</w:t>
            </w:r>
            <w:proofErr w:type="gramEnd"/>
          </w:p>
        </w:tc>
        <w:tc>
          <w:tcPr>
            <w:tcW w:w="899" w:type="dxa"/>
            <w:shd w:val="clear" w:color="auto" w:fill="auto"/>
          </w:tcPr>
          <w:p w14:paraId="4B11F129" w14:textId="77777777" w:rsidR="002C3344" w:rsidRPr="00DA2887" w:rsidRDefault="002C3344" w:rsidP="00544811">
            <w:pPr>
              <w:pStyle w:val="Legend"/>
              <w:spacing w:before="120"/>
              <w:rPr>
                <w:sz w:val="22"/>
                <w:szCs w:val="22"/>
              </w:rPr>
            </w:pPr>
            <w:r w:rsidRPr="00DA2887">
              <w:rPr>
                <w:sz w:val="22"/>
                <w:szCs w:val="22"/>
              </w:rPr>
              <w:t>17325</w:t>
            </w:r>
          </w:p>
        </w:tc>
        <w:tc>
          <w:tcPr>
            <w:tcW w:w="944" w:type="dxa"/>
            <w:shd w:val="clear" w:color="auto" w:fill="auto"/>
          </w:tcPr>
          <w:p w14:paraId="0A5D8345" w14:textId="77777777" w:rsidR="002C3344" w:rsidRPr="00DA2887" w:rsidRDefault="002C3344" w:rsidP="00544811">
            <w:pPr>
              <w:pStyle w:val="Legend"/>
              <w:spacing w:before="120"/>
              <w:rPr>
                <w:sz w:val="22"/>
                <w:szCs w:val="22"/>
              </w:rPr>
            </w:pPr>
            <w:r w:rsidRPr="00DA2887">
              <w:rPr>
                <w:sz w:val="22"/>
                <w:szCs w:val="22"/>
              </w:rPr>
              <w:t>18812</w:t>
            </w:r>
          </w:p>
        </w:tc>
        <w:tc>
          <w:tcPr>
            <w:tcW w:w="850" w:type="dxa"/>
            <w:shd w:val="clear" w:color="auto" w:fill="auto"/>
          </w:tcPr>
          <w:p w14:paraId="4081AB95" w14:textId="77777777" w:rsidR="002C3344" w:rsidRPr="00DA2887" w:rsidRDefault="002C3344" w:rsidP="00544811">
            <w:pPr>
              <w:pStyle w:val="Legend"/>
              <w:spacing w:before="120"/>
              <w:rPr>
                <w:sz w:val="22"/>
                <w:szCs w:val="22"/>
              </w:rPr>
            </w:pPr>
            <w:r w:rsidRPr="00DA2887">
              <w:rPr>
                <w:sz w:val="22"/>
                <w:szCs w:val="22"/>
              </w:rPr>
              <w:t>0.28</w:t>
            </w:r>
          </w:p>
        </w:tc>
        <w:tc>
          <w:tcPr>
            <w:tcW w:w="992" w:type="dxa"/>
            <w:shd w:val="clear" w:color="auto" w:fill="auto"/>
          </w:tcPr>
          <w:p w14:paraId="49A051D7" w14:textId="77777777" w:rsidR="002C3344" w:rsidRPr="00DA2887" w:rsidRDefault="002C3344" w:rsidP="00544811">
            <w:pPr>
              <w:pStyle w:val="Legend"/>
              <w:spacing w:before="120"/>
              <w:rPr>
                <w:sz w:val="22"/>
                <w:szCs w:val="22"/>
              </w:rPr>
            </w:pPr>
            <w:r w:rsidRPr="00DA2887">
              <w:rPr>
                <w:sz w:val="22"/>
                <w:szCs w:val="22"/>
              </w:rPr>
              <w:t>3499</w:t>
            </w:r>
          </w:p>
        </w:tc>
        <w:tc>
          <w:tcPr>
            <w:tcW w:w="993" w:type="dxa"/>
            <w:shd w:val="clear" w:color="auto" w:fill="auto"/>
          </w:tcPr>
          <w:p w14:paraId="26706F5C" w14:textId="77777777" w:rsidR="002C3344" w:rsidRPr="00DA2887" w:rsidRDefault="002C3344" w:rsidP="00544811">
            <w:pPr>
              <w:pStyle w:val="Legend"/>
              <w:spacing w:before="120"/>
              <w:rPr>
                <w:sz w:val="22"/>
                <w:szCs w:val="22"/>
              </w:rPr>
            </w:pPr>
            <w:r w:rsidRPr="00DA2887">
              <w:rPr>
                <w:sz w:val="22"/>
                <w:szCs w:val="22"/>
              </w:rPr>
              <w:t>13553</w:t>
            </w:r>
          </w:p>
        </w:tc>
        <w:tc>
          <w:tcPr>
            <w:tcW w:w="1134" w:type="dxa"/>
            <w:shd w:val="clear" w:color="auto" w:fill="auto"/>
          </w:tcPr>
          <w:p w14:paraId="426CF67C" w14:textId="77777777" w:rsidR="002C3344" w:rsidRPr="00DA2887" w:rsidRDefault="002C3344" w:rsidP="00544811">
            <w:pPr>
              <w:spacing w:before="120"/>
              <w:rPr>
                <w:rFonts w:eastAsia="Times New Roman"/>
                <w:kern w:val="28"/>
                <w:sz w:val="22"/>
                <w:szCs w:val="22"/>
              </w:rPr>
            </w:pPr>
            <w:r w:rsidRPr="00DA2887">
              <w:rPr>
                <w:rFonts w:eastAsia="Times New Roman"/>
                <w:kern w:val="28"/>
                <w:sz w:val="22"/>
                <w:szCs w:val="22"/>
              </w:rPr>
              <w:t>0.35</w:t>
            </w:r>
          </w:p>
          <w:p w14:paraId="6938D99F" w14:textId="77777777" w:rsidR="002C3344" w:rsidRPr="00DA2887" w:rsidRDefault="002C3344" w:rsidP="00544811">
            <w:pPr>
              <w:pStyle w:val="Legend"/>
              <w:spacing w:before="120"/>
              <w:rPr>
                <w:sz w:val="22"/>
                <w:szCs w:val="22"/>
              </w:rPr>
            </w:pPr>
          </w:p>
        </w:tc>
        <w:tc>
          <w:tcPr>
            <w:tcW w:w="992" w:type="dxa"/>
            <w:shd w:val="clear" w:color="auto" w:fill="auto"/>
          </w:tcPr>
          <w:p w14:paraId="45019C27" w14:textId="77777777" w:rsidR="002C3344" w:rsidRPr="00DA2887" w:rsidRDefault="002C3344" w:rsidP="00544811">
            <w:pPr>
              <w:pStyle w:val="Legend"/>
              <w:spacing w:before="120"/>
              <w:rPr>
                <w:sz w:val="22"/>
                <w:szCs w:val="22"/>
              </w:rPr>
            </w:pPr>
            <w:r w:rsidRPr="00DA2887">
              <w:rPr>
                <w:sz w:val="22"/>
                <w:szCs w:val="22"/>
              </w:rPr>
              <w:t>2211</w:t>
            </w:r>
          </w:p>
        </w:tc>
        <w:tc>
          <w:tcPr>
            <w:tcW w:w="992" w:type="dxa"/>
            <w:shd w:val="clear" w:color="auto" w:fill="auto"/>
          </w:tcPr>
          <w:p w14:paraId="69D05384" w14:textId="77777777" w:rsidR="002C3344" w:rsidRPr="00DA2887" w:rsidRDefault="002C3344" w:rsidP="00544811">
            <w:pPr>
              <w:pStyle w:val="Legend"/>
              <w:spacing w:before="120"/>
              <w:rPr>
                <w:sz w:val="22"/>
                <w:szCs w:val="22"/>
              </w:rPr>
            </w:pPr>
            <w:r w:rsidRPr="00DA2887">
              <w:rPr>
                <w:sz w:val="22"/>
                <w:szCs w:val="22"/>
              </w:rPr>
              <w:t>12441</w:t>
            </w:r>
          </w:p>
        </w:tc>
        <w:tc>
          <w:tcPr>
            <w:tcW w:w="1134" w:type="dxa"/>
            <w:shd w:val="clear" w:color="auto" w:fill="auto"/>
          </w:tcPr>
          <w:p w14:paraId="7820D680" w14:textId="77777777" w:rsidR="002C3344" w:rsidRPr="00DA2887" w:rsidRDefault="002C3344" w:rsidP="00544811">
            <w:pPr>
              <w:pStyle w:val="Legend"/>
              <w:spacing w:before="120"/>
              <w:rPr>
                <w:sz w:val="22"/>
                <w:szCs w:val="22"/>
              </w:rPr>
            </w:pPr>
            <w:r w:rsidRPr="00DA2887">
              <w:rPr>
                <w:sz w:val="22"/>
                <w:szCs w:val="22"/>
              </w:rPr>
              <w:t>0.16</w:t>
            </w:r>
          </w:p>
        </w:tc>
      </w:tr>
      <w:tr w:rsidR="00DA2887" w:rsidRPr="001A1667" w14:paraId="2082D678" w14:textId="77777777" w:rsidTr="00DA2887">
        <w:tc>
          <w:tcPr>
            <w:tcW w:w="1277" w:type="dxa"/>
            <w:shd w:val="clear" w:color="auto" w:fill="auto"/>
          </w:tcPr>
          <w:p w14:paraId="769AC553" w14:textId="77777777" w:rsidR="002C3344" w:rsidRPr="00DA2887" w:rsidRDefault="002C3344" w:rsidP="00544811">
            <w:pPr>
              <w:pStyle w:val="Legend"/>
              <w:spacing w:before="120"/>
              <w:rPr>
                <w:sz w:val="22"/>
                <w:szCs w:val="22"/>
              </w:rPr>
            </w:pPr>
            <w:r w:rsidRPr="00DA2887">
              <w:rPr>
                <w:sz w:val="22"/>
                <w:szCs w:val="22"/>
              </w:rPr>
              <w:t xml:space="preserve">Somatic </w:t>
            </w:r>
            <w:proofErr w:type="spellStart"/>
            <w:r w:rsidRPr="00DA2887">
              <w:rPr>
                <w:sz w:val="22"/>
                <w:szCs w:val="22"/>
              </w:rPr>
              <w:t>BrCa</w:t>
            </w:r>
            <w:proofErr w:type="spellEnd"/>
          </w:p>
        </w:tc>
        <w:tc>
          <w:tcPr>
            <w:tcW w:w="899" w:type="dxa"/>
            <w:shd w:val="clear" w:color="auto" w:fill="auto"/>
          </w:tcPr>
          <w:p w14:paraId="2A90F48B" w14:textId="77777777" w:rsidR="002C3344" w:rsidRPr="00DA2887" w:rsidRDefault="002C3344" w:rsidP="00544811">
            <w:pPr>
              <w:pStyle w:val="Legend"/>
              <w:spacing w:before="120"/>
              <w:rPr>
                <w:sz w:val="22"/>
                <w:szCs w:val="22"/>
              </w:rPr>
            </w:pPr>
            <w:r w:rsidRPr="00DA2887">
              <w:rPr>
                <w:sz w:val="22"/>
                <w:szCs w:val="22"/>
              </w:rPr>
              <w:t>30535</w:t>
            </w:r>
          </w:p>
        </w:tc>
        <w:tc>
          <w:tcPr>
            <w:tcW w:w="944" w:type="dxa"/>
            <w:shd w:val="clear" w:color="auto" w:fill="auto"/>
          </w:tcPr>
          <w:p w14:paraId="160247D9" w14:textId="77777777" w:rsidR="002C3344" w:rsidRPr="00DA2887" w:rsidRDefault="002C3344" w:rsidP="00544811">
            <w:pPr>
              <w:pStyle w:val="Legend"/>
              <w:spacing w:before="120"/>
              <w:rPr>
                <w:sz w:val="22"/>
                <w:szCs w:val="22"/>
              </w:rPr>
            </w:pPr>
            <w:r w:rsidRPr="00DA2887">
              <w:rPr>
                <w:sz w:val="22"/>
                <w:szCs w:val="22"/>
              </w:rPr>
              <w:t>11122</w:t>
            </w:r>
          </w:p>
        </w:tc>
        <w:tc>
          <w:tcPr>
            <w:tcW w:w="850" w:type="dxa"/>
            <w:shd w:val="clear" w:color="auto" w:fill="auto"/>
          </w:tcPr>
          <w:p w14:paraId="708B1104" w14:textId="77777777" w:rsidR="002C3344" w:rsidRPr="00DA2887" w:rsidRDefault="002C3344" w:rsidP="00544811">
            <w:pPr>
              <w:pStyle w:val="Legend"/>
              <w:spacing w:before="120"/>
              <w:rPr>
                <w:sz w:val="22"/>
                <w:szCs w:val="22"/>
              </w:rPr>
            </w:pPr>
            <w:r w:rsidRPr="00DA2887">
              <w:rPr>
                <w:sz w:val="22"/>
                <w:szCs w:val="22"/>
              </w:rPr>
              <w:t>0.82</w:t>
            </w:r>
          </w:p>
        </w:tc>
        <w:tc>
          <w:tcPr>
            <w:tcW w:w="992" w:type="dxa"/>
            <w:shd w:val="clear" w:color="auto" w:fill="auto"/>
          </w:tcPr>
          <w:p w14:paraId="2218C7B5" w14:textId="77777777" w:rsidR="002C3344" w:rsidRPr="00DA2887" w:rsidRDefault="002C3344" w:rsidP="00544811">
            <w:pPr>
              <w:pStyle w:val="Legend"/>
              <w:spacing w:before="120"/>
              <w:rPr>
                <w:sz w:val="22"/>
                <w:szCs w:val="22"/>
              </w:rPr>
            </w:pPr>
            <w:r w:rsidRPr="00DA2887">
              <w:rPr>
                <w:sz w:val="22"/>
                <w:szCs w:val="22"/>
              </w:rPr>
              <w:t>15854</w:t>
            </w:r>
          </w:p>
        </w:tc>
        <w:tc>
          <w:tcPr>
            <w:tcW w:w="993" w:type="dxa"/>
            <w:shd w:val="clear" w:color="auto" w:fill="auto"/>
          </w:tcPr>
          <w:p w14:paraId="2BB22AF8" w14:textId="77777777" w:rsidR="002C3344" w:rsidRPr="00DA2887" w:rsidRDefault="002C3344" w:rsidP="00544811">
            <w:pPr>
              <w:pStyle w:val="Legend"/>
              <w:spacing w:before="120"/>
              <w:rPr>
                <w:sz w:val="22"/>
                <w:szCs w:val="22"/>
              </w:rPr>
            </w:pPr>
            <w:r w:rsidRPr="00DA2887">
              <w:rPr>
                <w:sz w:val="22"/>
                <w:szCs w:val="22"/>
              </w:rPr>
              <w:t>12886</w:t>
            </w:r>
          </w:p>
        </w:tc>
        <w:tc>
          <w:tcPr>
            <w:tcW w:w="1134" w:type="dxa"/>
            <w:shd w:val="clear" w:color="auto" w:fill="auto"/>
          </w:tcPr>
          <w:p w14:paraId="6D27391E" w14:textId="77777777" w:rsidR="002C3344" w:rsidRPr="00DA2887" w:rsidRDefault="002C3344" w:rsidP="00544811">
            <w:pPr>
              <w:spacing w:before="120"/>
              <w:rPr>
                <w:rFonts w:eastAsia="Times New Roman"/>
                <w:color w:val="000000"/>
                <w:sz w:val="22"/>
                <w:szCs w:val="22"/>
              </w:rPr>
            </w:pPr>
            <w:r w:rsidRPr="00DA2887">
              <w:rPr>
                <w:rFonts w:eastAsia="Times New Roman"/>
                <w:color w:val="000000"/>
                <w:sz w:val="22"/>
                <w:szCs w:val="22"/>
              </w:rPr>
              <w:t>1.66</w:t>
            </w:r>
          </w:p>
          <w:p w14:paraId="14C7299D" w14:textId="77777777" w:rsidR="002C3344" w:rsidRPr="00DA2887" w:rsidRDefault="002C3344" w:rsidP="00544811">
            <w:pPr>
              <w:pStyle w:val="Legend"/>
              <w:spacing w:before="120"/>
              <w:rPr>
                <w:sz w:val="22"/>
                <w:szCs w:val="22"/>
              </w:rPr>
            </w:pPr>
          </w:p>
        </w:tc>
        <w:tc>
          <w:tcPr>
            <w:tcW w:w="992" w:type="dxa"/>
            <w:shd w:val="clear" w:color="auto" w:fill="auto"/>
          </w:tcPr>
          <w:p w14:paraId="37942D4C" w14:textId="77777777" w:rsidR="002C3344" w:rsidRPr="00DA2887" w:rsidRDefault="002C3344" w:rsidP="00544811">
            <w:pPr>
              <w:pStyle w:val="Legend"/>
              <w:spacing w:before="120"/>
              <w:rPr>
                <w:sz w:val="22"/>
                <w:szCs w:val="22"/>
              </w:rPr>
            </w:pPr>
            <w:r w:rsidRPr="00DA2887">
              <w:rPr>
                <w:sz w:val="22"/>
                <w:szCs w:val="22"/>
              </w:rPr>
              <w:t>13569</w:t>
            </w:r>
          </w:p>
        </w:tc>
        <w:tc>
          <w:tcPr>
            <w:tcW w:w="992" w:type="dxa"/>
            <w:shd w:val="clear" w:color="auto" w:fill="auto"/>
          </w:tcPr>
          <w:p w14:paraId="4A9A9E77" w14:textId="77777777" w:rsidR="002C3344" w:rsidRPr="00DA2887" w:rsidRDefault="002C3344" w:rsidP="00544811">
            <w:pPr>
              <w:pStyle w:val="Legend"/>
              <w:spacing w:before="120"/>
              <w:rPr>
                <w:sz w:val="22"/>
                <w:szCs w:val="22"/>
              </w:rPr>
            </w:pPr>
            <w:r w:rsidRPr="00DA2887">
              <w:rPr>
                <w:sz w:val="22"/>
                <w:szCs w:val="22"/>
              </w:rPr>
              <w:t>12656</w:t>
            </w:r>
          </w:p>
        </w:tc>
        <w:tc>
          <w:tcPr>
            <w:tcW w:w="1134" w:type="dxa"/>
            <w:shd w:val="clear" w:color="auto" w:fill="auto"/>
          </w:tcPr>
          <w:p w14:paraId="28BE1D9D" w14:textId="77777777" w:rsidR="002C3344" w:rsidRPr="00DA2887" w:rsidRDefault="002C3344" w:rsidP="00544811">
            <w:pPr>
              <w:pStyle w:val="Legend"/>
              <w:spacing w:before="120"/>
              <w:rPr>
                <w:sz w:val="22"/>
                <w:szCs w:val="22"/>
              </w:rPr>
            </w:pPr>
            <w:r w:rsidRPr="00DA2887">
              <w:rPr>
                <w:sz w:val="22"/>
                <w:szCs w:val="22"/>
              </w:rPr>
              <w:t>0.94</w:t>
            </w:r>
          </w:p>
        </w:tc>
      </w:tr>
    </w:tbl>
    <w:p w14:paraId="566A898B" w14:textId="77777777" w:rsidR="002C3344" w:rsidRPr="0035049A" w:rsidRDefault="002C3344" w:rsidP="002C3344">
      <w:pPr>
        <w:pStyle w:val="SOMHead"/>
        <w:spacing w:before="0"/>
        <w:rPr>
          <w:b w:val="0"/>
          <w:sz w:val="20"/>
          <w:szCs w:val="20"/>
        </w:rPr>
      </w:pPr>
      <w:proofErr w:type="spellStart"/>
      <w:proofErr w:type="gramStart"/>
      <w:r>
        <w:rPr>
          <w:b w:val="0"/>
          <w:sz w:val="20"/>
          <w:szCs w:val="20"/>
          <w:vertAlign w:val="superscript"/>
        </w:rPr>
        <w:t>a</w:t>
      </w:r>
      <w:r>
        <w:rPr>
          <w:b w:val="0"/>
          <w:sz w:val="20"/>
          <w:szCs w:val="20"/>
        </w:rPr>
        <w:t>We</w:t>
      </w:r>
      <w:proofErr w:type="spellEnd"/>
      <w:proofErr w:type="gramEnd"/>
      <w:r>
        <w:rPr>
          <w:b w:val="0"/>
          <w:sz w:val="20"/>
          <w:szCs w:val="20"/>
        </w:rPr>
        <w:t xml:space="preserve"> consider separately </w:t>
      </w:r>
      <w:proofErr w:type="spellStart"/>
      <w:r>
        <w:rPr>
          <w:b w:val="0"/>
          <w:sz w:val="20"/>
          <w:szCs w:val="20"/>
        </w:rPr>
        <w:t>germline</w:t>
      </w:r>
      <w:proofErr w:type="spellEnd"/>
      <w:r>
        <w:rPr>
          <w:b w:val="0"/>
          <w:sz w:val="20"/>
          <w:szCs w:val="20"/>
        </w:rPr>
        <w:t xml:space="preserve"> substitutions occurring at a higher frequency of &gt;0.1 in the human population, because </w:t>
      </w:r>
      <w:proofErr w:type="spellStart"/>
      <w:r>
        <w:rPr>
          <w:b w:val="0"/>
          <w:sz w:val="20"/>
          <w:szCs w:val="20"/>
        </w:rPr>
        <w:t>g</w:t>
      </w:r>
      <w:r w:rsidRPr="0035049A">
        <w:rPr>
          <w:b w:val="0"/>
          <w:sz w:val="20"/>
          <w:szCs w:val="20"/>
        </w:rPr>
        <w:t>ermline</w:t>
      </w:r>
      <w:proofErr w:type="spellEnd"/>
      <w:r w:rsidRPr="0035049A">
        <w:rPr>
          <w:b w:val="0"/>
          <w:sz w:val="20"/>
          <w:szCs w:val="20"/>
        </w:rPr>
        <w:t xml:space="preserve"> substitutions appearing at </w:t>
      </w:r>
      <w:r>
        <w:rPr>
          <w:b w:val="0"/>
          <w:sz w:val="20"/>
          <w:szCs w:val="20"/>
        </w:rPr>
        <w:t>lower</w:t>
      </w:r>
      <w:r w:rsidRPr="0035049A">
        <w:rPr>
          <w:b w:val="0"/>
          <w:sz w:val="20"/>
          <w:szCs w:val="20"/>
        </w:rPr>
        <w:t xml:space="preserve"> frequencies are expected to be </w:t>
      </w:r>
      <w:r>
        <w:rPr>
          <w:b w:val="0"/>
          <w:sz w:val="20"/>
          <w:szCs w:val="20"/>
        </w:rPr>
        <w:t>less affected by natural selection</w:t>
      </w:r>
      <w:r w:rsidRPr="0035049A">
        <w:rPr>
          <w:b w:val="0"/>
          <w:sz w:val="20"/>
          <w:szCs w:val="20"/>
        </w:rPr>
        <w:t xml:space="preserve"> than </w:t>
      </w:r>
      <w:proofErr w:type="spellStart"/>
      <w:r w:rsidRPr="0035049A">
        <w:rPr>
          <w:b w:val="0"/>
          <w:sz w:val="20"/>
          <w:szCs w:val="20"/>
        </w:rPr>
        <w:t>germline</w:t>
      </w:r>
      <w:proofErr w:type="spellEnd"/>
      <w:r w:rsidRPr="0035049A">
        <w:rPr>
          <w:b w:val="0"/>
          <w:sz w:val="20"/>
          <w:szCs w:val="20"/>
        </w:rPr>
        <w:t xml:space="preserve"> substitutions appearing at </w:t>
      </w:r>
      <w:r>
        <w:rPr>
          <w:b w:val="0"/>
          <w:sz w:val="20"/>
          <w:szCs w:val="20"/>
        </w:rPr>
        <w:t xml:space="preserve">high frequencies </w:t>
      </w:r>
      <w:r>
        <w:rPr>
          <w:b w:val="0"/>
          <w:sz w:val="20"/>
          <w:szCs w:val="20"/>
        </w:rPr>
        <w:fldChar w:fldCharType="begin"/>
      </w:r>
      <w:r>
        <w:rPr>
          <w:b w:val="0"/>
          <w:sz w:val="20"/>
          <w:szCs w:val="20"/>
        </w:rPr>
        <w:instrText xml:space="preserve"> ADDIN EN.CITE &lt;EndNote&gt;&lt;Cite&gt;&lt;Author&gt;Messer&lt;/Author&gt;&lt;Year&gt;2009&lt;/Year&gt;&lt;RecNum&gt;36&lt;/RecNum&gt;&lt;DisplayText&gt;[50]&lt;/DisplayText&gt;&lt;record&gt;&lt;rec-number&gt;36&lt;/rec-number&gt;&lt;foreign-keys&gt;&lt;key app="EN" db-id="xz9vst9r5adsrtedrepxw907atwsvvtwtrrd"&gt;36&lt;/key&gt;&lt;/foreign-keys&gt;&lt;ref-type name="Journal Article"&gt;17&lt;/ref-type&gt;&lt;contributors&gt;&lt;authors&gt;&lt;author&gt;Messer, P. W.&lt;/author&gt;&lt;/authors&gt;&lt;/contributors&gt;&lt;auth-address&gt;Department of Biology, Stanford University, 371 Serra Mall, California 94305, USA. messer@stanford.edu&lt;/auth-address&gt;&lt;titles&gt;&lt;title&gt;Measuring the rates of spontaneous mutation from deep and large-scale polymorphism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1219-32&lt;/pages&gt;&lt;volume&gt;182&lt;/volume&gt;&lt;number&gt;4&lt;/number&gt;&lt;edition&gt;2009/06/17&lt;/edition&gt;&lt;keywords&gt;&lt;keyword&gt;Evolution, Molecular&lt;/keyword&gt;&lt;keyword&gt;Kinetics&lt;/keyword&gt;&lt;keyword&gt;Likelihood Functions&lt;/keyword&gt;&lt;keyword&gt;Methods&lt;/keyword&gt;&lt;keyword&gt;*Models, Genetic&lt;/keyword&gt;&lt;keyword&gt;*Mutation&lt;/keyword&gt;&lt;keyword&gt;*Polymorphism, Genetic&lt;/keyword&gt;&lt;/keywords&gt;&lt;dates&gt;&lt;year&gt;2009&lt;/year&gt;&lt;pub-dates&gt;&lt;date&gt;Aug&lt;/date&gt;&lt;/pub-dates&gt;&lt;/dates&gt;&lt;isbn&gt;1943-2631 (Electronic)&amp;#xD;0016-6731 (Linking)&lt;/isbn&gt;&lt;accession-num&gt;19528323&lt;/accession-num&gt;&lt;work-type&gt;Research Support, Non-U.S. Gov&amp;apos;t&amp;#xD;Research Support, U.S. Gov&amp;apos;t, Non-P.H.S.&lt;/work-type&gt;&lt;urls&gt;&lt;related-urls&gt;&lt;url&gt;http://www.ncbi.nlm.nih.gov/pubmed/19528323&lt;/url&gt;&lt;/related-urls&gt;&lt;/urls&gt;&lt;custom2&gt;2728861&lt;/custom2&gt;&lt;electronic-resource-num&gt;10.1534/genetics.109.105692&lt;/electronic-resource-num&gt;&lt;language&gt;eng&lt;/language&gt;&lt;/record&gt;&lt;/Cite&gt;&lt;/EndNote&gt;</w:instrText>
      </w:r>
      <w:r>
        <w:rPr>
          <w:b w:val="0"/>
          <w:sz w:val="20"/>
          <w:szCs w:val="20"/>
        </w:rPr>
        <w:fldChar w:fldCharType="separate"/>
      </w:r>
      <w:r>
        <w:rPr>
          <w:b w:val="0"/>
          <w:noProof/>
          <w:sz w:val="20"/>
          <w:szCs w:val="20"/>
        </w:rPr>
        <w:t>[</w:t>
      </w:r>
      <w:hyperlink w:anchor="_ENREF_50" w:tooltip="Messer, 2009 #36" w:history="1">
        <w:r>
          <w:rPr>
            <w:b w:val="0"/>
            <w:noProof/>
            <w:sz w:val="20"/>
            <w:szCs w:val="20"/>
          </w:rPr>
          <w:t>50</w:t>
        </w:r>
      </w:hyperlink>
      <w:r>
        <w:rPr>
          <w:b w:val="0"/>
          <w:noProof/>
          <w:sz w:val="20"/>
          <w:szCs w:val="20"/>
        </w:rPr>
        <w:t>]</w:t>
      </w:r>
      <w:r>
        <w:rPr>
          <w:b w:val="0"/>
          <w:sz w:val="20"/>
          <w:szCs w:val="20"/>
        </w:rPr>
        <w:fldChar w:fldCharType="end"/>
      </w:r>
      <w:r w:rsidRPr="0035049A">
        <w:rPr>
          <w:b w:val="0"/>
          <w:sz w:val="20"/>
          <w:szCs w:val="20"/>
        </w:rPr>
        <w:t>.</w:t>
      </w:r>
      <w:r>
        <w:rPr>
          <w:b w:val="0"/>
          <w:sz w:val="20"/>
          <w:szCs w:val="20"/>
        </w:rPr>
        <w:t xml:space="preserve"> This is because rare polymorphisms have not yet had time to be strongly affected by selection and therefore still contain many deleterious substitutions that with time would be removed from the population. </w:t>
      </w:r>
    </w:p>
    <w:p w14:paraId="752A7C8D" w14:textId="6058A31F" w:rsidR="000D288A" w:rsidRPr="00583147" w:rsidRDefault="000D288A" w:rsidP="000D288A">
      <w:pPr>
        <w:rPr>
          <w:b/>
          <w:lang w:bidi="he-IL"/>
        </w:rPr>
      </w:pPr>
      <w:bookmarkStart w:id="0" w:name="_GoBack"/>
      <w:bookmarkEnd w:id="0"/>
    </w:p>
    <w:sectPr w:rsidR="000D288A" w:rsidRPr="00583147" w:rsidSect="00DA2887">
      <w:pgSz w:w="11894" w:h="16834"/>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14"/>
    <w:rsid w:val="00061EC7"/>
    <w:rsid w:val="00082B9A"/>
    <w:rsid w:val="000D288A"/>
    <w:rsid w:val="000D63AA"/>
    <w:rsid w:val="00101E07"/>
    <w:rsid w:val="001141C7"/>
    <w:rsid w:val="00154537"/>
    <w:rsid w:val="001859C6"/>
    <w:rsid w:val="00187B7E"/>
    <w:rsid w:val="001B5AB3"/>
    <w:rsid w:val="001B7AE7"/>
    <w:rsid w:val="001E3C5B"/>
    <w:rsid w:val="001F2F14"/>
    <w:rsid w:val="00232016"/>
    <w:rsid w:val="00233A5B"/>
    <w:rsid w:val="00255496"/>
    <w:rsid w:val="002A50F8"/>
    <w:rsid w:val="002C3344"/>
    <w:rsid w:val="00310353"/>
    <w:rsid w:val="00371ED9"/>
    <w:rsid w:val="003772E0"/>
    <w:rsid w:val="003B1392"/>
    <w:rsid w:val="00480298"/>
    <w:rsid w:val="0056225C"/>
    <w:rsid w:val="00583147"/>
    <w:rsid w:val="00680BC7"/>
    <w:rsid w:val="00693761"/>
    <w:rsid w:val="0069768A"/>
    <w:rsid w:val="006A2E40"/>
    <w:rsid w:val="006C0287"/>
    <w:rsid w:val="00715336"/>
    <w:rsid w:val="007548D8"/>
    <w:rsid w:val="0078294B"/>
    <w:rsid w:val="00784370"/>
    <w:rsid w:val="007904A2"/>
    <w:rsid w:val="007B21E9"/>
    <w:rsid w:val="007D4FED"/>
    <w:rsid w:val="008307CA"/>
    <w:rsid w:val="00830A3F"/>
    <w:rsid w:val="008862A8"/>
    <w:rsid w:val="00893689"/>
    <w:rsid w:val="008D6712"/>
    <w:rsid w:val="0092358B"/>
    <w:rsid w:val="00924E87"/>
    <w:rsid w:val="0092539A"/>
    <w:rsid w:val="00996331"/>
    <w:rsid w:val="009971D1"/>
    <w:rsid w:val="009D1866"/>
    <w:rsid w:val="009D5547"/>
    <w:rsid w:val="009F6977"/>
    <w:rsid w:val="00A34744"/>
    <w:rsid w:val="00A63F88"/>
    <w:rsid w:val="00AB125F"/>
    <w:rsid w:val="00AC6732"/>
    <w:rsid w:val="00B17C9A"/>
    <w:rsid w:val="00B30C5E"/>
    <w:rsid w:val="00B97168"/>
    <w:rsid w:val="00BD2629"/>
    <w:rsid w:val="00C22504"/>
    <w:rsid w:val="00C55216"/>
    <w:rsid w:val="00C85736"/>
    <w:rsid w:val="00C97F50"/>
    <w:rsid w:val="00CC764A"/>
    <w:rsid w:val="00CE4E89"/>
    <w:rsid w:val="00CF2562"/>
    <w:rsid w:val="00D12E11"/>
    <w:rsid w:val="00DA2887"/>
    <w:rsid w:val="00E0105D"/>
    <w:rsid w:val="00E011DA"/>
    <w:rsid w:val="00E2250A"/>
    <w:rsid w:val="00EC3441"/>
    <w:rsid w:val="00F24640"/>
    <w:rsid w:val="00F35C19"/>
    <w:rsid w:val="00F51CEE"/>
    <w:rsid w:val="00F7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7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14"/>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
    <w:name w:val="AppendixHead"/>
    <w:basedOn w:val="Normal"/>
    <w:rsid w:val="001F2F14"/>
    <w:pPr>
      <w:keepNext/>
      <w:spacing w:before="240"/>
      <w:outlineLvl w:val="0"/>
    </w:pPr>
    <w:rPr>
      <w:rFonts w:eastAsia="Times New Roman"/>
      <w:b/>
      <w:bCs/>
      <w:kern w:val="28"/>
    </w:rPr>
  </w:style>
  <w:style w:type="paragraph" w:customStyle="1" w:styleId="Paragraph">
    <w:name w:val="Paragraph"/>
    <w:basedOn w:val="Normal"/>
    <w:rsid w:val="001F2F14"/>
    <w:pPr>
      <w:spacing w:before="120"/>
      <w:ind w:firstLine="720"/>
    </w:pPr>
    <w:rPr>
      <w:rFonts w:eastAsia="Times New Roman"/>
    </w:rPr>
  </w:style>
  <w:style w:type="paragraph" w:customStyle="1" w:styleId="Legend">
    <w:name w:val="Legend"/>
    <w:basedOn w:val="Normal"/>
    <w:rsid w:val="001F2F14"/>
    <w:pPr>
      <w:keepNext/>
      <w:spacing w:before="240"/>
      <w:outlineLvl w:val="0"/>
    </w:pPr>
    <w:rPr>
      <w:rFonts w:eastAsia="Times New Roman"/>
      <w:kern w:val="28"/>
    </w:rPr>
  </w:style>
  <w:style w:type="paragraph" w:customStyle="1" w:styleId="SOMHead">
    <w:name w:val="SOMHead"/>
    <w:basedOn w:val="Normal"/>
    <w:rsid w:val="001F2F14"/>
    <w:pPr>
      <w:keepNext/>
      <w:spacing w:before="240"/>
      <w:outlineLvl w:val="0"/>
    </w:pPr>
    <w:rPr>
      <w:rFonts w:eastAsia="Times New Roman"/>
      <w:b/>
      <w:kern w:val="28"/>
    </w:rPr>
  </w:style>
  <w:style w:type="table" w:styleId="TableGrid">
    <w:name w:val="Table Grid"/>
    <w:basedOn w:val="TableNormal"/>
    <w:uiPriority w:val="59"/>
    <w:rsid w:val="001F2F14"/>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BC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F6977"/>
    <w:rPr>
      <w:sz w:val="16"/>
      <w:szCs w:val="16"/>
    </w:rPr>
  </w:style>
  <w:style w:type="paragraph" w:styleId="CommentText">
    <w:name w:val="annotation text"/>
    <w:basedOn w:val="Normal"/>
    <w:link w:val="CommentTextChar"/>
    <w:uiPriority w:val="99"/>
    <w:semiHidden/>
    <w:unhideWhenUsed/>
    <w:rsid w:val="009F6977"/>
    <w:rPr>
      <w:sz w:val="20"/>
      <w:szCs w:val="20"/>
    </w:rPr>
  </w:style>
  <w:style w:type="character" w:customStyle="1" w:styleId="CommentTextChar">
    <w:name w:val="Comment Text Char"/>
    <w:basedOn w:val="DefaultParagraphFont"/>
    <w:link w:val="CommentText"/>
    <w:uiPriority w:val="99"/>
    <w:semiHidden/>
    <w:rsid w:val="009F697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977"/>
    <w:rPr>
      <w:b/>
      <w:bCs/>
    </w:rPr>
  </w:style>
  <w:style w:type="character" w:customStyle="1" w:styleId="CommentSubjectChar">
    <w:name w:val="Comment Subject Char"/>
    <w:basedOn w:val="CommentTextChar"/>
    <w:link w:val="CommentSubject"/>
    <w:uiPriority w:val="99"/>
    <w:semiHidden/>
    <w:rsid w:val="009F697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14"/>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
    <w:name w:val="AppendixHead"/>
    <w:basedOn w:val="Normal"/>
    <w:rsid w:val="001F2F14"/>
    <w:pPr>
      <w:keepNext/>
      <w:spacing w:before="240"/>
      <w:outlineLvl w:val="0"/>
    </w:pPr>
    <w:rPr>
      <w:rFonts w:eastAsia="Times New Roman"/>
      <w:b/>
      <w:bCs/>
      <w:kern w:val="28"/>
    </w:rPr>
  </w:style>
  <w:style w:type="paragraph" w:customStyle="1" w:styleId="Paragraph">
    <w:name w:val="Paragraph"/>
    <w:basedOn w:val="Normal"/>
    <w:rsid w:val="001F2F14"/>
    <w:pPr>
      <w:spacing w:before="120"/>
      <w:ind w:firstLine="720"/>
    </w:pPr>
    <w:rPr>
      <w:rFonts w:eastAsia="Times New Roman"/>
    </w:rPr>
  </w:style>
  <w:style w:type="paragraph" w:customStyle="1" w:styleId="Legend">
    <w:name w:val="Legend"/>
    <w:basedOn w:val="Normal"/>
    <w:rsid w:val="001F2F14"/>
    <w:pPr>
      <w:keepNext/>
      <w:spacing w:before="240"/>
      <w:outlineLvl w:val="0"/>
    </w:pPr>
    <w:rPr>
      <w:rFonts w:eastAsia="Times New Roman"/>
      <w:kern w:val="28"/>
    </w:rPr>
  </w:style>
  <w:style w:type="paragraph" w:customStyle="1" w:styleId="SOMHead">
    <w:name w:val="SOMHead"/>
    <w:basedOn w:val="Normal"/>
    <w:rsid w:val="001F2F14"/>
    <w:pPr>
      <w:keepNext/>
      <w:spacing w:before="240"/>
      <w:outlineLvl w:val="0"/>
    </w:pPr>
    <w:rPr>
      <w:rFonts w:eastAsia="Times New Roman"/>
      <w:b/>
      <w:kern w:val="28"/>
    </w:rPr>
  </w:style>
  <w:style w:type="table" w:styleId="TableGrid">
    <w:name w:val="Table Grid"/>
    <w:basedOn w:val="TableNormal"/>
    <w:uiPriority w:val="59"/>
    <w:rsid w:val="001F2F14"/>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BC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F6977"/>
    <w:rPr>
      <w:sz w:val="16"/>
      <w:szCs w:val="16"/>
    </w:rPr>
  </w:style>
  <w:style w:type="paragraph" w:styleId="CommentText">
    <w:name w:val="annotation text"/>
    <w:basedOn w:val="Normal"/>
    <w:link w:val="CommentTextChar"/>
    <w:uiPriority w:val="99"/>
    <w:semiHidden/>
    <w:unhideWhenUsed/>
    <w:rsid w:val="009F6977"/>
    <w:rPr>
      <w:sz w:val="20"/>
      <w:szCs w:val="20"/>
    </w:rPr>
  </w:style>
  <w:style w:type="character" w:customStyle="1" w:styleId="CommentTextChar">
    <w:name w:val="Comment Text Char"/>
    <w:basedOn w:val="DefaultParagraphFont"/>
    <w:link w:val="CommentText"/>
    <w:uiPriority w:val="99"/>
    <w:semiHidden/>
    <w:rsid w:val="009F697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977"/>
    <w:rPr>
      <w:b/>
      <w:bCs/>
    </w:rPr>
  </w:style>
  <w:style w:type="character" w:customStyle="1" w:styleId="CommentSubjectChar">
    <w:name w:val="Comment Subject Char"/>
    <w:basedOn w:val="CommentTextChar"/>
    <w:link w:val="CommentSubject"/>
    <w:uiPriority w:val="99"/>
    <w:semiHidden/>
    <w:rsid w:val="009F697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3">
      <w:bodyDiv w:val="1"/>
      <w:marLeft w:val="0"/>
      <w:marRight w:val="0"/>
      <w:marTop w:val="0"/>
      <w:marBottom w:val="0"/>
      <w:divBdr>
        <w:top w:val="none" w:sz="0" w:space="0" w:color="auto"/>
        <w:left w:val="none" w:sz="0" w:space="0" w:color="auto"/>
        <w:bottom w:val="none" w:sz="0" w:space="0" w:color="auto"/>
        <w:right w:val="none" w:sz="0" w:space="0" w:color="auto"/>
      </w:divBdr>
    </w:div>
    <w:div w:id="146365691">
      <w:bodyDiv w:val="1"/>
      <w:marLeft w:val="0"/>
      <w:marRight w:val="0"/>
      <w:marTop w:val="0"/>
      <w:marBottom w:val="0"/>
      <w:divBdr>
        <w:top w:val="none" w:sz="0" w:space="0" w:color="auto"/>
        <w:left w:val="none" w:sz="0" w:space="0" w:color="auto"/>
        <w:bottom w:val="none" w:sz="0" w:space="0" w:color="auto"/>
        <w:right w:val="none" w:sz="0" w:space="0" w:color="auto"/>
      </w:divBdr>
    </w:div>
    <w:div w:id="595402056">
      <w:bodyDiv w:val="1"/>
      <w:marLeft w:val="0"/>
      <w:marRight w:val="0"/>
      <w:marTop w:val="0"/>
      <w:marBottom w:val="0"/>
      <w:divBdr>
        <w:top w:val="none" w:sz="0" w:space="0" w:color="auto"/>
        <w:left w:val="none" w:sz="0" w:space="0" w:color="auto"/>
        <w:bottom w:val="none" w:sz="0" w:space="0" w:color="auto"/>
        <w:right w:val="none" w:sz="0" w:space="0" w:color="auto"/>
      </w:divBdr>
    </w:div>
    <w:div w:id="749422246">
      <w:bodyDiv w:val="1"/>
      <w:marLeft w:val="0"/>
      <w:marRight w:val="0"/>
      <w:marTop w:val="0"/>
      <w:marBottom w:val="0"/>
      <w:divBdr>
        <w:top w:val="none" w:sz="0" w:space="0" w:color="auto"/>
        <w:left w:val="none" w:sz="0" w:space="0" w:color="auto"/>
        <w:bottom w:val="none" w:sz="0" w:space="0" w:color="auto"/>
        <w:right w:val="none" w:sz="0" w:space="0" w:color="auto"/>
      </w:divBdr>
    </w:div>
    <w:div w:id="760105017">
      <w:bodyDiv w:val="1"/>
      <w:marLeft w:val="0"/>
      <w:marRight w:val="0"/>
      <w:marTop w:val="0"/>
      <w:marBottom w:val="0"/>
      <w:divBdr>
        <w:top w:val="none" w:sz="0" w:space="0" w:color="auto"/>
        <w:left w:val="none" w:sz="0" w:space="0" w:color="auto"/>
        <w:bottom w:val="none" w:sz="0" w:space="0" w:color="auto"/>
        <w:right w:val="none" w:sz="0" w:space="0" w:color="auto"/>
      </w:divBdr>
    </w:div>
    <w:div w:id="762261451">
      <w:bodyDiv w:val="1"/>
      <w:marLeft w:val="0"/>
      <w:marRight w:val="0"/>
      <w:marTop w:val="0"/>
      <w:marBottom w:val="0"/>
      <w:divBdr>
        <w:top w:val="none" w:sz="0" w:space="0" w:color="auto"/>
        <w:left w:val="none" w:sz="0" w:space="0" w:color="auto"/>
        <w:bottom w:val="none" w:sz="0" w:space="0" w:color="auto"/>
        <w:right w:val="none" w:sz="0" w:space="0" w:color="auto"/>
      </w:divBdr>
    </w:div>
    <w:div w:id="872421202">
      <w:bodyDiv w:val="1"/>
      <w:marLeft w:val="0"/>
      <w:marRight w:val="0"/>
      <w:marTop w:val="0"/>
      <w:marBottom w:val="0"/>
      <w:divBdr>
        <w:top w:val="none" w:sz="0" w:space="0" w:color="auto"/>
        <w:left w:val="none" w:sz="0" w:space="0" w:color="auto"/>
        <w:bottom w:val="none" w:sz="0" w:space="0" w:color="auto"/>
        <w:right w:val="none" w:sz="0" w:space="0" w:color="auto"/>
      </w:divBdr>
    </w:div>
    <w:div w:id="1004818506">
      <w:bodyDiv w:val="1"/>
      <w:marLeft w:val="0"/>
      <w:marRight w:val="0"/>
      <w:marTop w:val="0"/>
      <w:marBottom w:val="0"/>
      <w:divBdr>
        <w:top w:val="none" w:sz="0" w:space="0" w:color="auto"/>
        <w:left w:val="none" w:sz="0" w:space="0" w:color="auto"/>
        <w:bottom w:val="none" w:sz="0" w:space="0" w:color="auto"/>
        <w:right w:val="none" w:sz="0" w:space="0" w:color="auto"/>
      </w:divBdr>
    </w:div>
    <w:div w:id="1163396970">
      <w:bodyDiv w:val="1"/>
      <w:marLeft w:val="0"/>
      <w:marRight w:val="0"/>
      <w:marTop w:val="0"/>
      <w:marBottom w:val="0"/>
      <w:divBdr>
        <w:top w:val="none" w:sz="0" w:space="0" w:color="auto"/>
        <w:left w:val="none" w:sz="0" w:space="0" w:color="auto"/>
        <w:bottom w:val="none" w:sz="0" w:space="0" w:color="auto"/>
        <w:right w:val="none" w:sz="0" w:space="0" w:color="auto"/>
      </w:divBdr>
    </w:div>
    <w:div w:id="1178348023">
      <w:bodyDiv w:val="1"/>
      <w:marLeft w:val="0"/>
      <w:marRight w:val="0"/>
      <w:marTop w:val="0"/>
      <w:marBottom w:val="0"/>
      <w:divBdr>
        <w:top w:val="none" w:sz="0" w:space="0" w:color="auto"/>
        <w:left w:val="none" w:sz="0" w:space="0" w:color="auto"/>
        <w:bottom w:val="none" w:sz="0" w:space="0" w:color="auto"/>
        <w:right w:val="none" w:sz="0" w:space="0" w:color="auto"/>
      </w:divBdr>
    </w:div>
    <w:div w:id="1198198630">
      <w:bodyDiv w:val="1"/>
      <w:marLeft w:val="0"/>
      <w:marRight w:val="0"/>
      <w:marTop w:val="0"/>
      <w:marBottom w:val="0"/>
      <w:divBdr>
        <w:top w:val="none" w:sz="0" w:space="0" w:color="auto"/>
        <w:left w:val="none" w:sz="0" w:space="0" w:color="auto"/>
        <w:bottom w:val="none" w:sz="0" w:space="0" w:color="auto"/>
        <w:right w:val="none" w:sz="0" w:space="0" w:color="auto"/>
      </w:divBdr>
    </w:div>
    <w:div w:id="1440173765">
      <w:bodyDiv w:val="1"/>
      <w:marLeft w:val="0"/>
      <w:marRight w:val="0"/>
      <w:marTop w:val="0"/>
      <w:marBottom w:val="0"/>
      <w:divBdr>
        <w:top w:val="none" w:sz="0" w:space="0" w:color="auto"/>
        <w:left w:val="none" w:sz="0" w:space="0" w:color="auto"/>
        <w:bottom w:val="none" w:sz="0" w:space="0" w:color="auto"/>
        <w:right w:val="none" w:sz="0" w:space="0" w:color="auto"/>
      </w:divBdr>
    </w:div>
    <w:div w:id="1499345623">
      <w:bodyDiv w:val="1"/>
      <w:marLeft w:val="0"/>
      <w:marRight w:val="0"/>
      <w:marTop w:val="0"/>
      <w:marBottom w:val="0"/>
      <w:divBdr>
        <w:top w:val="none" w:sz="0" w:space="0" w:color="auto"/>
        <w:left w:val="none" w:sz="0" w:space="0" w:color="auto"/>
        <w:bottom w:val="none" w:sz="0" w:space="0" w:color="auto"/>
        <w:right w:val="none" w:sz="0" w:space="0" w:color="auto"/>
      </w:divBdr>
    </w:div>
    <w:div w:id="1583488141">
      <w:bodyDiv w:val="1"/>
      <w:marLeft w:val="0"/>
      <w:marRight w:val="0"/>
      <w:marTop w:val="0"/>
      <w:marBottom w:val="0"/>
      <w:divBdr>
        <w:top w:val="none" w:sz="0" w:space="0" w:color="auto"/>
        <w:left w:val="none" w:sz="0" w:space="0" w:color="auto"/>
        <w:bottom w:val="none" w:sz="0" w:space="0" w:color="auto"/>
        <w:right w:val="none" w:sz="0" w:space="0" w:color="auto"/>
      </w:divBdr>
    </w:div>
    <w:div w:id="1655640428">
      <w:bodyDiv w:val="1"/>
      <w:marLeft w:val="0"/>
      <w:marRight w:val="0"/>
      <w:marTop w:val="0"/>
      <w:marBottom w:val="0"/>
      <w:divBdr>
        <w:top w:val="none" w:sz="0" w:space="0" w:color="auto"/>
        <w:left w:val="none" w:sz="0" w:space="0" w:color="auto"/>
        <w:bottom w:val="none" w:sz="0" w:space="0" w:color="auto"/>
        <w:right w:val="none" w:sz="0" w:space="0" w:color="auto"/>
      </w:divBdr>
    </w:div>
    <w:div w:id="1822309637">
      <w:bodyDiv w:val="1"/>
      <w:marLeft w:val="0"/>
      <w:marRight w:val="0"/>
      <w:marTop w:val="0"/>
      <w:marBottom w:val="0"/>
      <w:divBdr>
        <w:top w:val="none" w:sz="0" w:space="0" w:color="auto"/>
        <w:left w:val="none" w:sz="0" w:space="0" w:color="auto"/>
        <w:bottom w:val="none" w:sz="0" w:space="0" w:color="auto"/>
        <w:right w:val="none" w:sz="0" w:space="0" w:color="auto"/>
      </w:divBdr>
    </w:div>
    <w:div w:id="1978342684">
      <w:bodyDiv w:val="1"/>
      <w:marLeft w:val="0"/>
      <w:marRight w:val="0"/>
      <w:marTop w:val="0"/>
      <w:marBottom w:val="0"/>
      <w:divBdr>
        <w:top w:val="none" w:sz="0" w:space="0" w:color="auto"/>
        <w:left w:val="none" w:sz="0" w:space="0" w:color="auto"/>
        <w:bottom w:val="none" w:sz="0" w:space="0" w:color="auto"/>
        <w:right w:val="none" w:sz="0" w:space="0" w:color="auto"/>
      </w:divBdr>
    </w:div>
    <w:div w:id="1980378951">
      <w:bodyDiv w:val="1"/>
      <w:marLeft w:val="0"/>
      <w:marRight w:val="0"/>
      <w:marTop w:val="0"/>
      <w:marBottom w:val="0"/>
      <w:divBdr>
        <w:top w:val="none" w:sz="0" w:space="0" w:color="auto"/>
        <w:left w:val="none" w:sz="0" w:space="0" w:color="auto"/>
        <w:bottom w:val="none" w:sz="0" w:space="0" w:color="auto"/>
        <w:right w:val="none" w:sz="0" w:space="0" w:color="auto"/>
      </w:divBdr>
    </w:div>
    <w:div w:id="210561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Macintosh Word</Application>
  <DocSecurity>0</DocSecurity>
  <Lines>19</Lines>
  <Paragraphs>5</Paragraphs>
  <ScaleCrop>false</ScaleCrop>
  <Company>UCHSC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Hershberg</dc:creator>
  <cp:lastModifiedBy>Ruth Hershberg</cp:lastModifiedBy>
  <cp:revision>3</cp:revision>
  <cp:lastPrinted>2013-12-25T10:48:00Z</cp:lastPrinted>
  <dcterms:created xsi:type="dcterms:W3CDTF">2013-12-26T19:09:00Z</dcterms:created>
  <dcterms:modified xsi:type="dcterms:W3CDTF">2013-12-26T19:12:00Z</dcterms:modified>
</cp:coreProperties>
</file>