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883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04"/>
        <w:gridCol w:w="1391"/>
        <w:gridCol w:w="1234"/>
        <w:gridCol w:w="4909"/>
      </w:tblGrid>
      <w:tr w:rsidR="00A94DF7" w:rsidRPr="002A508C" w:rsidTr="00F257D9"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4DF7" w:rsidRPr="00F257D9" w:rsidRDefault="00A94DF7" w:rsidP="00A94DF7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AC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4DF7" w:rsidRPr="00F257D9" w:rsidRDefault="00A94DF7" w:rsidP="00A94DF7">
            <w:pPr>
              <w:spacing w:after="200" w:line="360" w:lineRule="auto"/>
              <w:rPr>
                <w:lang w:val="en-GB"/>
              </w:rPr>
            </w:pPr>
            <w:proofErr w:type="spellStart"/>
            <w:r w:rsidRPr="00F257D9">
              <w:rPr>
                <w:lang w:val="en-GB"/>
              </w:rPr>
              <w:t>Pfam_ID</w:t>
            </w:r>
            <w:proofErr w:type="spellEnd"/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4DF7" w:rsidRPr="00F257D9" w:rsidRDefault="00A94DF7" w:rsidP="00A94DF7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 xml:space="preserve"># </w:t>
            </w:r>
            <w:proofErr w:type="gramStart"/>
            <w:r w:rsidRPr="00F257D9">
              <w:rPr>
                <w:lang w:val="en-GB"/>
              </w:rPr>
              <w:t>proteins</w:t>
            </w:r>
            <w:proofErr w:type="gramEnd"/>
          </w:p>
        </w:tc>
        <w:tc>
          <w:tcPr>
            <w:tcW w:w="49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4DF7" w:rsidRPr="00F257D9" w:rsidRDefault="00A94DF7" w:rsidP="00A94DF7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Description</w:t>
            </w:r>
          </w:p>
        </w:tc>
      </w:tr>
      <w:tr w:rsidR="00A94DF7" w:rsidRPr="00A94DF7" w:rsidTr="00F257D9">
        <w:tc>
          <w:tcPr>
            <w:tcW w:w="1304" w:type="dxa"/>
            <w:tcBorders>
              <w:top w:val="single" w:sz="8" w:space="0" w:color="auto"/>
            </w:tcBorders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PF07714</w:t>
            </w:r>
          </w:p>
        </w:tc>
        <w:tc>
          <w:tcPr>
            <w:tcW w:w="1391" w:type="dxa"/>
            <w:tcBorders>
              <w:top w:val="single" w:sz="8" w:space="0" w:color="auto"/>
            </w:tcBorders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proofErr w:type="spellStart"/>
            <w:r w:rsidRPr="00F257D9">
              <w:rPr>
                <w:lang w:val="en-GB"/>
              </w:rPr>
              <w:t>Pkinase_Tyr</w:t>
            </w:r>
            <w:proofErr w:type="spellEnd"/>
          </w:p>
        </w:tc>
        <w:tc>
          <w:tcPr>
            <w:tcW w:w="1234" w:type="dxa"/>
            <w:tcBorders>
              <w:top w:val="single" w:sz="8" w:space="0" w:color="auto"/>
            </w:tcBorders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1,714</w:t>
            </w:r>
          </w:p>
        </w:tc>
        <w:tc>
          <w:tcPr>
            <w:tcW w:w="4909" w:type="dxa"/>
            <w:tcBorders>
              <w:top w:val="single" w:sz="8" w:space="0" w:color="auto"/>
            </w:tcBorders>
          </w:tcPr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protein kinase activity (GO:0004672);</w:t>
            </w:r>
          </w:p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ATP binding (GO:0005524);</w:t>
            </w:r>
          </w:p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Biological Process: protein ph</w:t>
            </w:r>
            <w:bookmarkStart w:id="0" w:name="_GoBack"/>
            <w:bookmarkEnd w:id="0"/>
            <w:r w:rsidRPr="00F257D9">
              <w:rPr>
                <w:sz w:val="16"/>
                <w:lang w:val="en-GB"/>
              </w:rPr>
              <w:t>osphorylation (GO:0006468)</w:t>
            </w:r>
          </w:p>
        </w:tc>
      </w:tr>
      <w:tr w:rsidR="00A94DF7" w:rsidRPr="002A508C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PF00651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BTB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1,076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protein binding (GO:0005515)</w:t>
            </w:r>
          </w:p>
        </w:tc>
      </w:tr>
      <w:tr w:rsidR="00A94DF7" w:rsidRPr="002A508C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PF08238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Sel1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921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Sel1-like</w:t>
            </w:r>
          </w:p>
        </w:tc>
      </w:tr>
      <w:tr w:rsidR="00A94DF7" w:rsidRPr="00A94DF7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PF00069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proofErr w:type="spellStart"/>
            <w:r w:rsidRPr="00F257D9">
              <w:rPr>
                <w:lang w:val="en-GB"/>
              </w:rPr>
              <w:t>Pkinase</w:t>
            </w:r>
            <w:proofErr w:type="spellEnd"/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795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protein kinase activity (GO:0004672);</w:t>
            </w:r>
          </w:p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ATP binding (GO:0005524);</w:t>
            </w:r>
          </w:p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Biological Process: protein phosphorylation (GO:0006468)</w:t>
            </w:r>
          </w:p>
        </w:tc>
      </w:tr>
      <w:tr w:rsidR="00A94DF7" w:rsidRPr="002A508C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PF07534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TLD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793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NULL</w:t>
            </w:r>
          </w:p>
        </w:tc>
      </w:tr>
      <w:tr w:rsidR="00A94DF7" w:rsidRPr="002A508C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PF07707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BACK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502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BTB/</w:t>
            </w:r>
            <w:proofErr w:type="spellStart"/>
            <w:r w:rsidRPr="00F257D9">
              <w:rPr>
                <w:sz w:val="16"/>
                <w:lang w:val="en-GB"/>
              </w:rPr>
              <w:t>Kelch</w:t>
            </w:r>
            <w:proofErr w:type="spellEnd"/>
            <w:r w:rsidRPr="00F257D9">
              <w:rPr>
                <w:sz w:val="16"/>
                <w:lang w:val="en-GB"/>
              </w:rPr>
              <w:t>-associated</w:t>
            </w:r>
          </w:p>
        </w:tc>
      </w:tr>
      <w:tr w:rsidR="00A94DF7" w:rsidRPr="00A94DF7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PF00078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RVT_1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254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RNA binding (GO:0003723);</w:t>
            </w:r>
          </w:p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RNA-directed DNA polymerase activity (GO:0003964);</w:t>
            </w:r>
          </w:p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Biological Process: RNA-dependent DNA replication (GO:0006278)</w:t>
            </w:r>
          </w:p>
        </w:tc>
      </w:tr>
      <w:tr w:rsidR="00A94DF7" w:rsidRPr="00A94DF7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PF00076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RRM_1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192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nucleic acid binding (GO:0003676)</w:t>
            </w:r>
          </w:p>
        </w:tc>
      </w:tr>
      <w:tr w:rsidR="00A94DF7" w:rsidRPr="00A94DF7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PF00075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proofErr w:type="spellStart"/>
            <w:r w:rsidRPr="00F257D9">
              <w:rPr>
                <w:lang w:val="en-GB"/>
              </w:rPr>
              <w:t>RnaseH</w:t>
            </w:r>
            <w:proofErr w:type="spellEnd"/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189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Molecular Function: nucleic acid binding (GO:0003676);</w:t>
            </w:r>
          </w:p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 xml:space="preserve">Molecular Function: </w:t>
            </w:r>
            <w:proofErr w:type="spellStart"/>
            <w:r w:rsidRPr="00F257D9">
              <w:rPr>
                <w:sz w:val="16"/>
                <w:lang w:val="en-GB"/>
              </w:rPr>
              <w:t>ribonuclease</w:t>
            </w:r>
            <w:proofErr w:type="spellEnd"/>
            <w:r w:rsidRPr="00F257D9">
              <w:rPr>
                <w:sz w:val="16"/>
                <w:lang w:val="en-GB"/>
              </w:rPr>
              <w:t xml:space="preserve"> H activity (GO:0004523)</w:t>
            </w:r>
          </w:p>
        </w:tc>
      </w:tr>
      <w:tr w:rsidR="00A94DF7" w:rsidRPr="002A508C" w:rsidTr="00F257D9">
        <w:tc>
          <w:tcPr>
            <w:tcW w:w="130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PF00400</w:t>
            </w:r>
          </w:p>
        </w:tc>
        <w:tc>
          <w:tcPr>
            <w:tcW w:w="1391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WD40</w:t>
            </w:r>
          </w:p>
        </w:tc>
        <w:tc>
          <w:tcPr>
            <w:tcW w:w="1234" w:type="dxa"/>
          </w:tcPr>
          <w:p w:rsidR="00A94DF7" w:rsidRPr="00F257D9" w:rsidRDefault="00A94DF7" w:rsidP="00F257D9">
            <w:pPr>
              <w:spacing w:after="200" w:line="360" w:lineRule="auto"/>
              <w:rPr>
                <w:lang w:val="en-GB"/>
              </w:rPr>
            </w:pPr>
            <w:r w:rsidRPr="00F257D9">
              <w:rPr>
                <w:lang w:val="en-GB"/>
              </w:rPr>
              <w:t>188</w:t>
            </w:r>
          </w:p>
        </w:tc>
        <w:tc>
          <w:tcPr>
            <w:tcW w:w="4909" w:type="dxa"/>
          </w:tcPr>
          <w:p w:rsidR="00A94DF7" w:rsidRPr="00F257D9" w:rsidRDefault="00A94DF7" w:rsidP="00F257D9">
            <w:pPr>
              <w:spacing w:after="200" w:line="360" w:lineRule="auto"/>
              <w:rPr>
                <w:sz w:val="16"/>
                <w:lang w:val="en-GB"/>
              </w:rPr>
            </w:pPr>
            <w:r w:rsidRPr="00F257D9">
              <w:rPr>
                <w:sz w:val="16"/>
                <w:lang w:val="en-GB"/>
              </w:rPr>
              <w:t>WD40 repeat;</w:t>
            </w:r>
            <w:r w:rsidR="00F257D9">
              <w:rPr>
                <w:sz w:val="16"/>
                <w:lang w:val="en-GB"/>
              </w:rPr>
              <w:t xml:space="preserve"> </w:t>
            </w:r>
            <w:r w:rsidRPr="00F257D9">
              <w:rPr>
                <w:sz w:val="16"/>
                <w:lang w:val="en-GB"/>
              </w:rPr>
              <w:t>subgroup</w:t>
            </w:r>
          </w:p>
        </w:tc>
      </w:tr>
    </w:tbl>
    <w:p w:rsidR="00CE6BF8" w:rsidRPr="00A94DF7" w:rsidRDefault="00A94DF7">
      <w:pPr>
        <w:rPr>
          <w:rFonts w:ascii="Times New Roman" w:hAnsi="Times New Roman" w:cs="Times New Roman"/>
          <w:b/>
          <w:lang w:val="en-GB"/>
        </w:rPr>
      </w:pPr>
      <w:r w:rsidRPr="00A94DF7">
        <w:rPr>
          <w:rFonts w:ascii="Times New Roman" w:hAnsi="Times New Roman" w:cs="Times New Roman"/>
          <w:b/>
          <w:lang w:val="en-GB"/>
        </w:rPr>
        <w:t xml:space="preserve">Table S8. Summary of top ten </w:t>
      </w:r>
      <w:proofErr w:type="spellStart"/>
      <w:r w:rsidRPr="00A94DF7">
        <w:rPr>
          <w:rFonts w:ascii="Times New Roman" w:hAnsi="Times New Roman" w:cs="Times New Roman"/>
          <w:b/>
          <w:lang w:val="en-GB"/>
        </w:rPr>
        <w:t>Interpro</w:t>
      </w:r>
      <w:proofErr w:type="spellEnd"/>
      <w:r w:rsidRPr="00A94DF7">
        <w:rPr>
          <w:rFonts w:ascii="Times New Roman" w:hAnsi="Times New Roman" w:cs="Times New Roman"/>
          <w:b/>
          <w:lang w:val="en-GB"/>
        </w:rPr>
        <w:t xml:space="preserve"> domains in the annotated </w:t>
      </w:r>
      <w:r>
        <w:rPr>
          <w:rFonts w:ascii="Times New Roman" w:hAnsi="Times New Roman" w:cs="Times New Roman"/>
          <w:b/>
          <w:lang w:val="en-GB"/>
        </w:rPr>
        <w:t xml:space="preserve">unique </w:t>
      </w:r>
      <w:r w:rsidRPr="00A94DF7">
        <w:rPr>
          <w:rFonts w:ascii="Times New Roman" w:hAnsi="Times New Roman" w:cs="Times New Roman"/>
          <w:b/>
          <w:i/>
          <w:lang w:val="en-GB"/>
        </w:rPr>
        <w:t xml:space="preserve">R. </w:t>
      </w:r>
      <w:proofErr w:type="spellStart"/>
      <w:r w:rsidRPr="00A94DF7">
        <w:rPr>
          <w:rFonts w:ascii="Times New Roman" w:hAnsi="Times New Roman" w:cs="Times New Roman"/>
          <w:b/>
          <w:i/>
          <w:lang w:val="en-GB"/>
        </w:rPr>
        <w:t>irregularis</w:t>
      </w:r>
      <w:proofErr w:type="spellEnd"/>
      <w:r w:rsidRPr="00A94DF7">
        <w:rPr>
          <w:rFonts w:ascii="Times New Roman" w:hAnsi="Times New Roman" w:cs="Times New Roman"/>
          <w:b/>
          <w:lang w:val="en-GB"/>
        </w:rPr>
        <w:t xml:space="preserve"> proteins.</w:t>
      </w:r>
    </w:p>
    <w:sectPr w:rsidR="00CE6BF8" w:rsidRPr="00A9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F7"/>
    <w:rsid w:val="007B2EE4"/>
    <w:rsid w:val="00A94DF7"/>
    <w:rsid w:val="00CE6BF8"/>
    <w:rsid w:val="00EC72EE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F7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F7"/>
    <w:pPr>
      <w:spacing w:after="0" w:line="240" w:lineRule="auto"/>
    </w:pPr>
    <w:rPr>
      <w:rFonts w:asciiTheme="minorHAnsi" w:eastAsia="SimSun" w:hAnsi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F7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F7"/>
    <w:pPr>
      <w:spacing w:after="0" w:line="240" w:lineRule="auto"/>
    </w:pPr>
    <w:rPr>
      <w:rFonts w:asciiTheme="minorHAnsi" w:eastAsia="SimSun" w:hAnsi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Erik</dc:creator>
  <cp:lastModifiedBy>Rene Geurts</cp:lastModifiedBy>
  <cp:revision>2</cp:revision>
  <dcterms:created xsi:type="dcterms:W3CDTF">2013-11-27T10:47:00Z</dcterms:created>
  <dcterms:modified xsi:type="dcterms:W3CDTF">2013-11-27T10:47:00Z</dcterms:modified>
</cp:coreProperties>
</file>