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ED" w:rsidRPr="007039ED" w:rsidRDefault="007039ED" w:rsidP="007039ED">
      <w:pPr>
        <w:bidi w:val="0"/>
        <w:jc w:val="both"/>
      </w:pPr>
      <w:r>
        <w:rPr>
          <w:rFonts w:ascii="Times New Roman" w:hAnsi="Times New Roman" w:cs="Times New Roman"/>
          <w:b/>
          <w:bCs/>
        </w:rPr>
        <w:t>T</w:t>
      </w:r>
      <w:r w:rsidRPr="00DB5500">
        <w:rPr>
          <w:rFonts w:ascii="Times New Roman" w:hAnsi="Times New Roman" w:cs="Times New Roman"/>
          <w:b/>
          <w:bCs/>
        </w:rPr>
        <w:t xml:space="preserve">able </w:t>
      </w:r>
      <w:r>
        <w:rPr>
          <w:rFonts w:ascii="Times New Roman" w:hAnsi="Times New Roman" w:cs="Times New Roman"/>
          <w:b/>
          <w:bCs/>
        </w:rPr>
        <w:t>S4</w:t>
      </w:r>
      <w:r>
        <w:rPr>
          <w:rFonts w:ascii="Times New Roman" w:hAnsi="Times New Roman" w:cs="Times New Roman"/>
        </w:rPr>
        <w:t>: K</w:t>
      </w:r>
      <w:r w:rsidRPr="00AF5842">
        <w:rPr>
          <w:rFonts w:ascii="Times New Roman" w:hAnsi="Times New Roman" w:cs="Times New Roman"/>
        </w:rPr>
        <w:t xml:space="preserve">nown </w:t>
      </w:r>
      <w:proofErr w:type="spellStart"/>
      <w:r w:rsidRPr="00AF5842">
        <w:rPr>
          <w:rFonts w:ascii="Times New Roman" w:hAnsi="Times New Roman" w:cs="Times New Roman"/>
        </w:rPr>
        <w:t>zebrafish</w:t>
      </w:r>
      <w:bookmarkStart w:id="0" w:name="_GoBack"/>
      <w:bookmarkEnd w:id="0"/>
      <w:r w:rsidRPr="00AF5842">
        <w:rPr>
          <w:rFonts w:ascii="Times New Roman" w:hAnsi="Times New Roman" w:cs="Times New Roman"/>
        </w:rPr>
        <w:t>clock</w:t>
      </w:r>
      <w:proofErr w:type="spellEnd"/>
      <w:r w:rsidRPr="00AF5842">
        <w:rPr>
          <w:rFonts w:ascii="Times New Roman" w:hAnsi="Times New Roman" w:cs="Times New Roman"/>
        </w:rPr>
        <w:t>-controlled genes that</w:t>
      </w:r>
      <w:r>
        <w:rPr>
          <w:rFonts w:ascii="Times New Roman" w:hAnsi="Times New Roman" w:cs="Times New Roman"/>
        </w:rPr>
        <w:t xml:space="preserve"> are considered to</w:t>
      </w:r>
      <w:r w:rsidRPr="00AF5842">
        <w:rPr>
          <w:rFonts w:ascii="Times New Roman" w:hAnsi="Times New Roman" w:cs="Times New Roman"/>
        </w:rPr>
        <w:t xml:space="preserve"> form accessory loops of the molecular circadian oscillator. The temporal pattern of each gene, as determined </w:t>
      </w:r>
      <w:proofErr w:type="spellStart"/>
      <w:r w:rsidRPr="00AF5842">
        <w:rPr>
          <w:rFonts w:ascii="Times New Roman" w:hAnsi="Times New Roman" w:cs="Times New Roman"/>
        </w:rPr>
        <w:t>usingRNA-seq</w:t>
      </w:r>
      <w:proofErr w:type="spellEnd"/>
      <w:r w:rsidRPr="00AF5842">
        <w:rPr>
          <w:rFonts w:ascii="Times New Roman" w:hAnsi="Times New Roman" w:cs="Times New Roman"/>
        </w:rPr>
        <w:t xml:space="preserve">, is compared to previously </w:t>
      </w:r>
      <w:proofErr w:type="gramStart"/>
      <w:r w:rsidRPr="00AF5842">
        <w:rPr>
          <w:rFonts w:ascii="Times New Roman" w:hAnsi="Times New Roman" w:cs="Times New Roman"/>
        </w:rPr>
        <w:t>reported</w:t>
      </w:r>
      <w:proofErr w:type="gramEnd"/>
      <w:r w:rsidRPr="00AF5842">
        <w:rPr>
          <w:rFonts w:ascii="Times New Roman" w:hAnsi="Times New Roman" w:cs="Times New Roman"/>
        </w:rPr>
        <w:t xml:space="preserve"> experimental data.</w:t>
      </w:r>
    </w:p>
    <w:tbl>
      <w:tblPr>
        <w:bidiVisual/>
        <w:tblW w:w="9331" w:type="dxa"/>
        <w:tblInd w:w="-517" w:type="dxa"/>
        <w:tblBorders>
          <w:top w:val="single" w:sz="4" w:space="0" w:color="auto"/>
          <w:bottom w:val="single" w:sz="4" w:space="0" w:color="auto"/>
        </w:tblBorders>
        <w:tblLayout w:type="fixed"/>
        <w:tblLook w:val="01E0"/>
      </w:tblPr>
      <w:tblGrid>
        <w:gridCol w:w="992"/>
        <w:gridCol w:w="1843"/>
        <w:gridCol w:w="450"/>
        <w:gridCol w:w="1393"/>
        <w:gridCol w:w="400"/>
        <w:gridCol w:w="1301"/>
        <w:gridCol w:w="1276"/>
        <w:gridCol w:w="1676"/>
      </w:tblGrid>
      <w:tr w:rsidR="007039ED" w:rsidRPr="00C95B5C" w:rsidTr="004F6408">
        <w:trPr>
          <w:trHeight w:val="269"/>
        </w:trPr>
        <w:tc>
          <w:tcPr>
            <w:tcW w:w="4678" w:type="dxa"/>
            <w:gridSpan w:val="4"/>
            <w:tcBorders>
              <w:top w:val="single" w:sz="4" w:space="0" w:color="auto"/>
              <w:left w:val="nil"/>
              <w:bottom w:val="single" w:sz="4" w:space="0" w:color="auto"/>
              <w:right w:val="nil"/>
            </w:tcBorders>
            <w:vAlign w:val="center"/>
          </w:tcPr>
          <w:p w:rsidR="007039ED" w:rsidRPr="00C95B5C" w:rsidRDefault="007039ED" w:rsidP="00A746FB">
            <w:pPr>
              <w:bidi w:val="0"/>
              <w:spacing w:after="0"/>
              <w:ind w:right="459"/>
              <w:rPr>
                <w:rFonts w:ascii="Times New Roman" w:hAnsi="Times New Roman" w:cs="Times New Roman"/>
                <w:sz w:val="18"/>
                <w:szCs w:val="18"/>
                <w:rtl/>
              </w:rPr>
            </w:pPr>
            <w:r w:rsidRPr="00C95B5C">
              <w:rPr>
                <w:rFonts w:ascii="Times New Roman" w:hAnsi="Times New Roman" w:cs="Times New Roman"/>
                <w:sz w:val="18"/>
                <w:szCs w:val="18"/>
              </w:rPr>
              <w:t>Previously reported experimental data</w:t>
            </w:r>
          </w:p>
        </w:tc>
        <w:tc>
          <w:tcPr>
            <w:tcW w:w="400" w:type="dxa"/>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sz w:val="18"/>
                <w:szCs w:val="18"/>
                <w:u w:val="single"/>
              </w:rPr>
            </w:pPr>
          </w:p>
        </w:tc>
        <w:tc>
          <w:tcPr>
            <w:tcW w:w="2577" w:type="dxa"/>
            <w:gridSpan w:val="2"/>
            <w:tcBorders>
              <w:top w:val="single" w:sz="4" w:space="0" w:color="auto"/>
              <w:left w:val="nil"/>
              <w:bottom w:val="single" w:sz="4" w:space="0" w:color="auto"/>
              <w:right w:val="nil"/>
            </w:tcBorders>
            <w:shd w:val="clear" w:color="auto" w:fill="auto"/>
            <w:vAlign w:val="center"/>
          </w:tcPr>
          <w:p w:rsidR="007039ED" w:rsidRPr="00C95B5C" w:rsidRDefault="007039ED" w:rsidP="000161A8">
            <w:pPr>
              <w:bidi w:val="0"/>
              <w:spacing w:after="0"/>
              <w:rPr>
                <w:rFonts w:ascii="Times New Roman" w:hAnsi="Times New Roman" w:cs="Times New Roman"/>
                <w:sz w:val="18"/>
                <w:szCs w:val="18"/>
                <w:rtl/>
              </w:rPr>
            </w:pPr>
            <w:r w:rsidRPr="00C95B5C">
              <w:rPr>
                <w:rFonts w:ascii="Times New Roman" w:hAnsi="Times New Roman" w:cs="Times New Roman"/>
                <w:sz w:val="18"/>
                <w:szCs w:val="18"/>
              </w:rPr>
              <w:t>RNA-</w:t>
            </w:r>
            <w:proofErr w:type="spellStart"/>
            <w:r w:rsidRPr="00C95B5C">
              <w:rPr>
                <w:rFonts w:ascii="Times New Roman" w:hAnsi="Times New Roman" w:cs="Times New Roman"/>
                <w:sz w:val="18"/>
                <w:szCs w:val="18"/>
              </w:rPr>
              <w:t>seq</w:t>
            </w:r>
            <w:proofErr w:type="spellEnd"/>
            <w:r w:rsidRPr="00C95B5C">
              <w:rPr>
                <w:rFonts w:ascii="Times New Roman" w:hAnsi="Times New Roman" w:cs="Times New Roman"/>
                <w:sz w:val="18"/>
                <w:szCs w:val="18"/>
              </w:rPr>
              <w:t xml:space="preserve"> of the pineal gland</w:t>
            </w:r>
          </w:p>
        </w:tc>
        <w:tc>
          <w:tcPr>
            <w:tcW w:w="1676" w:type="dxa"/>
            <w:vMerge w:val="restart"/>
            <w:tcBorders>
              <w:top w:val="single" w:sz="4" w:space="0" w:color="auto"/>
              <w:left w:val="nil"/>
              <w:bottom w:val="nil"/>
              <w:right w:val="nil"/>
            </w:tcBorders>
            <w:vAlign w:val="center"/>
          </w:tcPr>
          <w:p w:rsidR="007039ED" w:rsidRPr="00C95B5C" w:rsidRDefault="007039ED" w:rsidP="000161A8">
            <w:pPr>
              <w:bidi w:val="0"/>
              <w:spacing w:after="0"/>
              <w:rPr>
                <w:rFonts w:ascii="Times New Roman" w:hAnsi="Times New Roman" w:cs="Times New Roman"/>
                <w:sz w:val="18"/>
                <w:szCs w:val="18"/>
              </w:rPr>
            </w:pPr>
            <w:r w:rsidRPr="00C95B5C">
              <w:rPr>
                <w:rFonts w:ascii="Times New Roman" w:hAnsi="Times New Roman" w:cs="Times New Roman"/>
                <w:sz w:val="18"/>
                <w:szCs w:val="18"/>
              </w:rPr>
              <w:t>Clock controlled genes</w:t>
            </w:r>
          </w:p>
        </w:tc>
      </w:tr>
      <w:tr w:rsidR="007039ED" w:rsidRPr="00C95B5C" w:rsidTr="004F6408">
        <w:trPr>
          <w:trHeight w:val="449"/>
        </w:trPr>
        <w:tc>
          <w:tcPr>
            <w:tcW w:w="992" w:type="dxa"/>
            <w:tcBorders>
              <w:top w:val="single" w:sz="4" w:space="0" w:color="auto"/>
              <w:left w:val="nil"/>
              <w:bottom w:val="single" w:sz="4" w:space="0" w:color="auto"/>
              <w:right w:val="nil"/>
            </w:tcBorders>
            <w:vAlign w:val="center"/>
          </w:tcPr>
          <w:p w:rsidR="007039ED" w:rsidRPr="00C95B5C" w:rsidRDefault="007039ED" w:rsidP="000161A8">
            <w:pPr>
              <w:bidi w:val="0"/>
              <w:spacing w:after="0"/>
              <w:ind w:right="-250"/>
              <w:rPr>
                <w:rFonts w:ascii="Times New Roman" w:hAnsi="Times New Roman" w:cs="Times New Roman"/>
                <w:sz w:val="18"/>
                <w:szCs w:val="18"/>
              </w:rPr>
            </w:pPr>
            <w:r w:rsidRPr="00C95B5C">
              <w:rPr>
                <w:rFonts w:ascii="Times New Roman" w:hAnsi="Times New Roman" w:cs="Times New Roman"/>
                <w:sz w:val="18"/>
                <w:szCs w:val="18"/>
              </w:rPr>
              <w:t>References</w:t>
            </w:r>
          </w:p>
        </w:tc>
        <w:tc>
          <w:tcPr>
            <w:tcW w:w="1843" w:type="dxa"/>
            <w:tcBorders>
              <w:top w:val="single" w:sz="4" w:space="0" w:color="auto"/>
              <w:left w:val="nil"/>
              <w:bottom w:val="single" w:sz="4" w:space="0" w:color="auto"/>
              <w:right w:val="nil"/>
            </w:tcBorders>
            <w:vAlign w:val="center"/>
          </w:tcPr>
          <w:p w:rsidR="007039ED" w:rsidRPr="00C95B5C" w:rsidRDefault="007039ED" w:rsidP="000161A8">
            <w:pPr>
              <w:bidi w:val="0"/>
              <w:spacing w:after="0"/>
              <w:rPr>
                <w:rFonts w:ascii="Times New Roman" w:hAnsi="Times New Roman" w:cs="Times New Roman"/>
                <w:sz w:val="18"/>
                <w:szCs w:val="18"/>
              </w:rPr>
            </w:pPr>
            <w:r w:rsidRPr="00C95B5C">
              <w:rPr>
                <w:rFonts w:ascii="Times New Roman" w:hAnsi="Times New Roman" w:cs="Times New Roman"/>
                <w:sz w:val="18"/>
                <w:szCs w:val="18"/>
              </w:rPr>
              <w:t>Tissue</w:t>
            </w:r>
          </w:p>
        </w:tc>
        <w:tc>
          <w:tcPr>
            <w:tcW w:w="450" w:type="dxa"/>
            <w:tcBorders>
              <w:top w:val="single" w:sz="4" w:space="0" w:color="auto"/>
              <w:left w:val="nil"/>
              <w:bottom w:val="single" w:sz="4" w:space="0" w:color="auto"/>
              <w:right w:val="nil"/>
            </w:tcBorders>
            <w:vAlign w:val="center"/>
          </w:tcPr>
          <w:p w:rsidR="007039ED" w:rsidRPr="00C95B5C" w:rsidRDefault="007039ED" w:rsidP="000161A8">
            <w:pPr>
              <w:bidi w:val="0"/>
              <w:rPr>
                <w:rFonts w:ascii="Times New Roman" w:hAnsi="Times New Roman" w:cs="Times New Roman"/>
                <w:sz w:val="18"/>
                <w:szCs w:val="18"/>
              </w:rPr>
            </w:pPr>
          </w:p>
        </w:tc>
        <w:tc>
          <w:tcPr>
            <w:tcW w:w="1393" w:type="dxa"/>
            <w:tcBorders>
              <w:top w:val="single" w:sz="4" w:space="0" w:color="auto"/>
              <w:left w:val="nil"/>
              <w:bottom w:val="single" w:sz="4" w:space="0" w:color="auto"/>
              <w:right w:val="nil"/>
            </w:tcBorders>
            <w:vAlign w:val="center"/>
          </w:tcPr>
          <w:p w:rsidR="007039ED" w:rsidRPr="00C95B5C" w:rsidRDefault="007039ED" w:rsidP="000161A8">
            <w:pPr>
              <w:bidi w:val="0"/>
              <w:spacing w:after="0"/>
              <w:rPr>
                <w:rFonts w:ascii="Times New Roman" w:hAnsi="Times New Roman" w:cs="Times New Roman"/>
                <w:sz w:val="18"/>
                <w:szCs w:val="18"/>
              </w:rPr>
            </w:pPr>
            <w:r w:rsidRPr="00C95B5C">
              <w:rPr>
                <w:rFonts w:ascii="Times New Roman" w:hAnsi="Times New Roman" w:cs="Times New Roman"/>
                <w:sz w:val="18"/>
                <w:szCs w:val="18"/>
              </w:rPr>
              <w:t>Expression peak</w:t>
            </w:r>
          </w:p>
        </w:tc>
        <w:tc>
          <w:tcPr>
            <w:tcW w:w="400" w:type="dxa"/>
            <w:tcBorders>
              <w:top w:val="nil"/>
              <w:left w:val="nil"/>
              <w:bottom w:val="single" w:sz="4" w:space="0" w:color="auto"/>
              <w:right w:val="nil"/>
            </w:tcBorders>
            <w:vAlign w:val="center"/>
          </w:tcPr>
          <w:p w:rsidR="007039ED" w:rsidRPr="00C95B5C" w:rsidRDefault="007039ED" w:rsidP="000161A8">
            <w:pPr>
              <w:bidi w:val="0"/>
              <w:rPr>
                <w:rFonts w:ascii="Times New Roman" w:hAnsi="Times New Roman" w:cs="Times New Roman"/>
                <w:sz w:val="18"/>
                <w:szCs w:val="18"/>
              </w:rPr>
            </w:pPr>
          </w:p>
        </w:tc>
        <w:tc>
          <w:tcPr>
            <w:tcW w:w="1301" w:type="dxa"/>
            <w:tcBorders>
              <w:top w:val="single" w:sz="4" w:space="0" w:color="auto"/>
              <w:left w:val="nil"/>
              <w:bottom w:val="single" w:sz="4" w:space="0" w:color="auto"/>
              <w:right w:val="nil"/>
            </w:tcBorders>
            <w:shd w:val="clear" w:color="auto" w:fill="auto"/>
            <w:vAlign w:val="center"/>
          </w:tcPr>
          <w:p w:rsidR="007039ED" w:rsidRPr="00C95B5C" w:rsidRDefault="007039ED" w:rsidP="000161A8">
            <w:pPr>
              <w:bidi w:val="0"/>
              <w:spacing w:after="0"/>
              <w:rPr>
                <w:rFonts w:ascii="Times New Roman" w:hAnsi="Times New Roman" w:cs="Times New Roman"/>
                <w:sz w:val="18"/>
                <w:szCs w:val="18"/>
              </w:rPr>
            </w:pPr>
            <w:r w:rsidRPr="00C95B5C">
              <w:rPr>
                <w:rFonts w:ascii="Times New Roman" w:hAnsi="Times New Roman" w:cs="Times New Roman"/>
                <w:sz w:val="18"/>
                <w:szCs w:val="18"/>
              </w:rPr>
              <w:t>Expression peak</w:t>
            </w:r>
          </w:p>
        </w:tc>
        <w:tc>
          <w:tcPr>
            <w:tcW w:w="1276" w:type="dxa"/>
            <w:tcBorders>
              <w:top w:val="single" w:sz="4" w:space="0" w:color="auto"/>
              <w:left w:val="nil"/>
              <w:bottom w:val="single" w:sz="4" w:space="0" w:color="auto"/>
              <w:right w:val="nil"/>
            </w:tcBorders>
            <w:shd w:val="clear" w:color="auto" w:fill="auto"/>
            <w:vAlign w:val="center"/>
          </w:tcPr>
          <w:p w:rsidR="007039ED" w:rsidRPr="00C95B5C" w:rsidRDefault="007039ED" w:rsidP="000161A8">
            <w:pPr>
              <w:bidi w:val="0"/>
              <w:spacing w:after="0"/>
              <w:rPr>
                <w:rFonts w:ascii="Times New Roman" w:hAnsi="Times New Roman" w:cs="Times New Roman"/>
                <w:sz w:val="18"/>
                <w:szCs w:val="18"/>
              </w:rPr>
            </w:pPr>
            <w:r w:rsidRPr="00C95B5C">
              <w:rPr>
                <w:rFonts w:ascii="Times New Roman" w:hAnsi="Times New Roman" w:cs="Times New Roman"/>
                <w:sz w:val="18"/>
                <w:szCs w:val="18"/>
              </w:rPr>
              <w:t>Temporal pattern</w:t>
            </w:r>
          </w:p>
        </w:tc>
        <w:tc>
          <w:tcPr>
            <w:tcW w:w="1676" w:type="dxa"/>
            <w:vMerge/>
            <w:tcBorders>
              <w:top w:val="nil"/>
              <w:left w:val="nil"/>
              <w:bottom w:val="single" w:sz="4" w:space="0" w:color="auto"/>
              <w:right w:val="nil"/>
            </w:tcBorders>
            <w:vAlign w:val="center"/>
          </w:tcPr>
          <w:p w:rsidR="007039ED" w:rsidRPr="00C95B5C" w:rsidRDefault="007039ED" w:rsidP="000161A8">
            <w:pPr>
              <w:bidi w:val="0"/>
              <w:rPr>
                <w:rFonts w:ascii="Times New Roman" w:hAnsi="Times New Roman" w:cs="Times New Roman"/>
                <w:sz w:val="18"/>
                <w:szCs w:val="18"/>
              </w:rPr>
            </w:pPr>
          </w:p>
        </w:tc>
      </w:tr>
      <w:tr w:rsidR="007039ED" w:rsidRPr="00C95B5C" w:rsidTr="004F6408">
        <w:trPr>
          <w:trHeight w:val="450"/>
        </w:trPr>
        <w:tc>
          <w:tcPr>
            <w:tcW w:w="992" w:type="dxa"/>
            <w:tcBorders>
              <w:top w:val="single" w:sz="4" w:space="0" w:color="auto"/>
              <w:left w:val="nil"/>
              <w:bottom w:val="nil"/>
              <w:right w:val="nil"/>
            </w:tcBorders>
            <w:vAlign w:val="center"/>
          </w:tcPr>
          <w:p w:rsidR="007039ED" w:rsidRPr="00813E9A" w:rsidRDefault="002E0683" w:rsidP="007039ED">
            <w:pPr>
              <w:bidi w:val="0"/>
              <w:rPr>
                <w:rFonts w:ascii="Times New Roman" w:hAnsi="Times New Roman" w:cs="Times New Roman"/>
                <w:sz w:val="18"/>
                <w:szCs w:val="18"/>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qTvqECJR","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7039ED">
              <w:rPr>
                <w:rFonts w:ascii="Cambria Math" w:hAnsi="Cambria Math" w:cs="Cambria Math"/>
                <w:sz w:val="18"/>
                <w:szCs w:val="18"/>
              </w:rPr>
              <w:instrText>∼</w:instrText>
            </w:r>
            <w:r w:rsidR="007039ED">
              <w:rPr>
                <w:rFonts w:ascii="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1</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Muscle</w:t>
            </w:r>
          </w:p>
        </w:tc>
        <w:tc>
          <w:tcPr>
            <w:tcW w:w="1843" w:type="dxa"/>
            <w:gridSpan w:val="2"/>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CT6 (DD)</w:t>
            </w:r>
          </w:p>
        </w:tc>
        <w:tc>
          <w:tcPr>
            <w:tcW w:w="400" w:type="dxa"/>
            <w:tcBorders>
              <w:top w:val="single" w:sz="4" w:space="0" w:color="auto"/>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Not identified</w:t>
            </w:r>
          </w:p>
        </w:tc>
        <w:tc>
          <w:tcPr>
            <w:tcW w:w="1276" w:type="dxa"/>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Not identified</w:t>
            </w:r>
          </w:p>
        </w:tc>
        <w:tc>
          <w:tcPr>
            <w:tcW w:w="1676" w:type="dxa"/>
            <w:tcBorders>
              <w:top w:val="single" w:sz="4" w:space="0" w:color="auto"/>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proofErr w:type="spellStart"/>
            <w:r>
              <w:rPr>
                <w:rFonts w:ascii="Times New Roman" w:hAnsi="Times New Roman" w:cs="Times New Roman"/>
                <w:i/>
                <w:iCs/>
                <w:sz w:val="18"/>
                <w:szCs w:val="18"/>
              </w:rPr>
              <w:t>r</w:t>
            </w:r>
            <w:r w:rsidRPr="00C95B5C">
              <w:rPr>
                <w:rFonts w:ascii="Times New Roman" w:hAnsi="Times New Roman" w:cs="Times New Roman"/>
                <w:i/>
                <w:iCs/>
                <w:sz w:val="18"/>
                <w:szCs w:val="18"/>
              </w:rPr>
              <w:t>oraa</w:t>
            </w:r>
            <w:proofErr w:type="spellEnd"/>
          </w:p>
        </w:tc>
      </w:tr>
      <w:tr w:rsidR="007039ED" w:rsidRPr="00C95B5C" w:rsidTr="004F6408">
        <w:trPr>
          <w:trHeight w:val="450"/>
        </w:trPr>
        <w:tc>
          <w:tcPr>
            <w:tcW w:w="992" w:type="dxa"/>
            <w:tcBorders>
              <w:top w:val="nil"/>
              <w:left w:val="nil"/>
              <w:bottom w:val="nil"/>
              <w:right w:val="nil"/>
            </w:tcBorders>
            <w:vAlign w:val="center"/>
          </w:tcPr>
          <w:p w:rsidR="007039ED" w:rsidRPr="00813E9A"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qWy7yHZ7","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7039ED">
              <w:rPr>
                <w:rFonts w:ascii="Cambria Math" w:hAnsi="Cambria Math" w:cs="Cambria Math"/>
                <w:sz w:val="18"/>
                <w:szCs w:val="18"/>
              </w:rPr>
              <w:instrText>∼</w:instrText>
            </w:r>
            <w:r w:rsidR="007039ED">
              <w:rPr>
                <w:rFonts w:ascii="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1</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Muscle</w:t>
            </w:r>
          </w:p>
        </w:tc>
        <w:tc>
          <w:tcPr>
            <w:tcW w:w="1843" w:type="dxa"/>
            <w:gridSpan w:val="2"/>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w:t>
            </w:r>
          </w:p>
        </w:tc>
        <w:tc>
          <w:tcPr>
            <w:tcW w:w="12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proofErr w:type="spellStart"/>
            <w:r>
              <w:rPr>
                <w:rFonts w:ascii="Times New Roman" w:hAnsi="Times New Roman" w:cs="Times New Roman"/>
                <w:i/>
                <w:iCs/>
                <w:sz w:val="18"/>
                <w:szCs w:val="18"/>
              </w:rPr>
              <w:t>r</w:t>
            </w:r>
            <w:r w:rsidRPr="00C95B5C">
              <w:rPr>
                <w:rFonts w:ascii="Times New Roman" w:hAnsi="Times New Roman" w:cs="Times New Roman"/>
                <w:i/>
                <w:iCs/>
                <w:sz w:val="18"/>
                <w:szCs w:val="18"/>
              </w:rPr>
              <w:t>orab</w:t>
            </w:r>
            <w:proofErr w:type="spellEnd"/>
          </w:p>
        </w:tc>
      </w:tr>
      <w:tr w:rsidR="007039ED" w:rsidRPr="00C95B5C" w:rsidTr="004F6408">
        <w:trPr>
          <w:trHeight w:val="450"/>
        </w:trPr>
        <w:tc>
          <w:tcPr>
            <w:tcW w:w="992"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Not reported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CT6-CT10</w:t>
            </w:r>
          </w:p>
        </w:tc>
        <w:tc>
          <w:tcPr>
            <w:tcW w:w="12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proofErr w:type="spellStart"/>
            <w:r>
              <w:rPr>
                <w:rFonts w:ascii="Times New Roman" w:hAnsi="Times New Roman" w:cs="Times New Roman"/>
                <w:i/>
                <w:iCs/>
                <w:sz w:val="18"/>
                <w:szCs w:val="18"/>
              </w:rPr>
              <w:t>r</w:t>
            </w:r>
            <w:r w:rsidRPr="00C95B5C">
              <w:rPr>
                <w:rFonts w:ascii="Times New Roman" w:hAnsi="Times New Roman" w:cs="Times New Roman"/>
                <w:i/>
                <w:iCs/>
                <w:sz w:val="18"/>
                <w:szCs w:val="18"/>
              </w:rPr>
              <w:t>orca</w:t>
            </w:r>
            <w:proofErr w:type="spellEnd"/>
          </w:p>
        </w:tc>
      </w:tr>
      <w:tr w:rsidR="007039ED" w:rsidRPr="00C95B5C" w:rsidTr="004F6408">
        <w:trPr>
          <w:trHeight w:val="450"/>
        </w:trPr>
        <w:tc>
          <w:tcPr>
            <w:tcW w:w="992" w:type="dxa"/>
            <w:tcBorders>
              <w:top w:val="nil"/>
              <w:left w:val="nil"/>
              <w:bottom w:val="nil"/>
              <w:right w:val="nil"/>
            </w:tcBorders>
            <w:vAlign w:val="center"/>
          </w:tcPr>
          <w:p w:rsidR="007039ED" w:rsidRPr="00813E9A"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8QXTcnL9","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7039ED">
              <w:rPr>
                <w:rFonts w:ascii="Cambria Math" w:hAnsi="Cambria Math" w:cs="Cambria Math"/>
                <w:sz w:val="18"/>
                <w:szCs w:val="18"/>
              </w:rPr>
              <w:instrText>∼</w:instrText>
            </w:r>
            <w:r w:rsidR="007039ED">
              <w:rPr>
                <w:rFonts w:ascii="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1</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Muscle</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w:t>
            </w:r>
          </w:p>
        </w:tc>
        <w:tc>
          <w:tcPr>
            <w:tcW w:w="12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r1d1 (</w:t>
            </w:r>
            <w:proofErr w:type="spellStart"/>
            <w:r>
              <w:rPr>
                <w:rFonts w:ascii="Times New Roman" w:hAnsi="Times New Roman" w:cs="Times New Roman"/>
                <w:i/>
                <w:iCs/>
                <w:sz w:val="18"/>
                <w:szCs w:val="18"/>
              </w:rPr>
              <w:t>r</w:t>
            </w:r>
            <w:r w:rsidRPr="00C95B5C">
              <w:rPr>
                <w:rFonts w:ascii="Times New Roman" w:hAnsi="Times New Roman" w:cs="Times New Roman"/>
                <w:i/>
                <w:iCs/>
                <w:sz w:val="18"/>
                <w:szCs w:val="18"/>
              </w:rPr>
              <w:t>everba</w:t>
            </w:r>
            <w:proofErr w:type="spellEnd"/>
            <w:r w:rsidRPr="00C95B5C">
              <w:rPr>
                <w:rFonts w:ascii="Times New Roman" w:hAnsi="Times New Roman" w:cs="Times New Roman"/>
                <w:i/>
                <w:iCs/>
                <w:sz w:val="18"/>
                <w:szCs w:val="18"/>
              </w:rPr>
              <w:t>)</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A4TrUSuB","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7039ED">
              <w:rPr>
                <w:rFonts w:ascii="Cambria Math" w:hAnsi="Cambria Math" w:cs="Cambria Math"/>
                <w:sz w:val="18"/>
                <w:szCs w:val="18"/>
              </w:rPr>
              <w:instrText>∼</w:instrText>
            </w:r>
            <w:r w:rsidR="007039ED">
              <w:rPr>
                <w:rFonts w:ascii="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1</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Muscle</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Not identified</w:t>
            </w:r>
          </w:p>
        </w:tc>
        <w:tc>
          <w:tcPr>
            <w:tcW w:w="12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Not identified</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r1d2a (</w:t>
            </w:r>
            <w:r>
              <w:rPr>
                <w:rFonts w:ascii="Times New Roman" w:hAnsi="Times New Roman" w:cs="Times New Roman"/>
                <w:i/>
                <w:iCs/>
                <w:sz w:val="18"/>
                <w:szCs w:val="18"/>
              </w:rPr>
              <w:t>r</w:t>
            </w:r>
            <w:r w:rsidRPr="00C95B5C">
              <w:rPr>
                <w:rFonts w:ascii="Times New Roman" w:hAnsi="Times New Roman" w:cs="Times New Roman"/>
                <w:i/>
                <w:iCs/>
                <w:sz w:val="18"/>
                <w:szCs w:val="18"/>
              </w:rPr>
              <w:t>ever</w:t>
            </w:r>
            <w:r w:rsidR="004F6408">
              <w:rPr>
                <w:rFonts w:ascii="Times New Roman" w:hAnsi="Times New Roman" w:cs="Times New Roman"/>
                <w:i/>
                <w:iCs/>
                <w:sz w:val="18"/>
                <w:szCs w:val="18"/>
              </w:rPr>
              <w:t>b</w:t>
            </w:r>
            <w:r w:rsidRPr="00C95B5C">
              <w:rPr>
                <w:rFonts w:ascii="Times New Roman" w:hAnsi="Times New Roman" w:cs="Times New Roman"/>
                <w:i/>
                <w:iCs/>
                <w:sz w:val="18"/>
                <w:szCs w:val="18"/>
              </w:rPr>
              <w:t>b1)</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7QPukMFx","properties":{"formattedCitation":"[9]","plainCitation":"[9]"},"citationItems":[{"id":313,"uris":["http://zotero.org/users/local/kGI1o42T/items/QXFJHEHD"],"uri":["http://zotero.org/users/local/kGI1o42T/items/QXFJHEHD"],"itemData":{"id":313,"type":"article-journal","title":"Circadian Expression of Clock and Putative Clock-Controlled Genes in Skeletal Muscle of the Zebrafish","container-title":"American Journal of Physiology - Regulatory, Integrative and Comparative Physiology","page":"R193-R206","volume":"302","issue":"1","abstract":"To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7039ED">
              <w:rPr>
                <w:rFonts w:ascii="Cambria Math" w:hAnsi="Cambria Math" w:cs="Cambria Math"/>
                <w:sz w:val="18"/>
                <w:szCs w:val="18"/>
              </w:rPr>
              <w:instrText>∼</w:instrText>
            </w:r>
            <w:r w:rsidR="007039ED">
              <w:rPr>
                <w:rFonts w:ascii="Times New Roman" w:hAnsi="Times New Roman" w:cs="Times New Roman"/>
                <w:sz w:val="18"/>
                <w:szCs w:val="18"/>
              </w:rPr>
              <w:instrText xml:space="preserve">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discussed.","DOI":"10.1152/ajpregu.00367.2011","journalAbbreviation":"Am J Physiol Regul Integr Comp Physiol","language":"en","author":[{"family":"Amaral","given":"Ian P. G."},{"family":"Johnston","given":"Ian A."}],"issued":{"year":2012,"month":1,"day":1},"accessed":{"year":2012,"month":5,"day":15},"page-first":"R193"}}],"schema":"https://github.com/citation-style-language/schema/raw/master/csl-citation.json"}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1</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Muscle</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CT22-CT2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CT22-CT2</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Pr>
            </w:pPr>
            <w:r w:rsidRPr="00C95B5C">
              <w:rPr>
                <w:rFonts w:ascii="Times New Roman" w:hAnsi="Times New Roman" w:cs="Times New Roman"/>
                <w:sz w:val="18"/>
                <w:szCs w:val="18"/>
              </w:rPr>
              <w:t>Circadian</w:t>
            </w:r>
            <w:r w:rsidRPr="00C95B5C">
              <w:rPr>
                <w:rFonts w:ascii="Times New Roman" w:hAnsi="Times New Roman" w:cs="Times New Roman"/>
                <w:sz w:val="18"/>
                <w:szCs w:val="18"/>
                <w:vertAlign w:val="superscript"/>
              </w:rPr>
              <w:t>1</w:t>
            </w:r>
          </w:p>
        </w:tc>
        <w:tc>
          <w:tcPr>
            <w:tcW w:w="1676" w:type="dxa"/>
            <w:tcBorders>
              <w:top w:val="nil"/>
              <w:left w:val="nil"/>
              <w:bottom w:val="nil"/>
              <w:right w:val="nil"/>
            </w:tcBorders>
            <w:vAlign w:val="center"/>
          </w:tcPr>
          <w:p w:rsidR="007039ED" w:rsidRPr="00C95B5C" w:rsidRDefault="007039ED" w:rsidP="004F640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 xml:space="preserve">r1d2b </w:t>
            </w:r>
            <w:r w:rsidR="004F6408">
              <w:rPr>
                <w:rFonts w:ascii="Times New Roman" w:hAnsi="Times New Roman" w:cs="Times New Roman"/>
                <w:i/>
                <w:iCs/>
                <w:sz w:val="18"/>
                <w:szCs w:val="18"/>
              </w:rPr>
              <w:t>(</w:t>
            </w:r>
            <w:r>
              <w:rPr>
                <w:rFonts w:ascii="Times New Roman" w:hAnsi="Times New Roman" w:cs="Times New Roman"/>
                <w:i/>
                <w:iCs/>
                <w:sz w:val="18"/>
                <w:szCs w:val="18"/>
              </w:rPr>
              <w:t>r</w:t>
            </w:r>
            <w:r w:rsidRPr="00C95B5C">
              <w:rPr>
                <w:rFonts w:ascii="Times New Roman" w:hAnsi="Times New Roman" w:cs="Times New Roman"/>
                <w:i/>
                <w:iCs/>
                <w:sz w:val="18"/>
                <w:szCs w:val="18"/>
              </w:rPr>
              <w:t xml:space="preserve">everbb2) </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Not reported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CT10</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4F640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fil3 (</w:t>
            </w:r>
            <w:r>
              <w:rPr>
                <w:rFonts w:ascii="Times New Roman" w:hAnsi="Times New Roman" w:cs="Times New Roman"/>
                <w:i/>
                <w:iCs/>
                <w:sz w:val="18"/>
                <w:szCs w:val="18"/>
              </w:rPr>
              <w:t>e</w:t>
            </w:r>
            <w:r w:rsidRPr="00C95B5C">
              <w:rPr>
                <w:rFonts w:ascii="Times New Roman" w:hAnsi="Times New Roman" w:cs="Times New Roman"/>
                <w:i/>
                <w:iCs/>
                <w:sz w:val="18"/>
                <w:szCs w:val="18"/>
              </w:rPr>
              <w:t>4pb4)</w:t>
            </w:r>
          </w:p>
        </w:tc>
      </w:tr>
      <w:tr w:rsidR="007039ED" w:rsidRPr="00C95B5C" w:rsidTr="004F6408">
        <w:trPr>
          <w:trHeight w:val="450"/>
        </w:trPr>
        <w:tc>
          <w:tcPr>
            <w:tcW w:w="992" w:type="dxa"/>
            <w:tcBorders>
              <w:top w:val="nil"/>
              <w:left w:val="nil"/>
              <w:bottom w:val="nil"/>
              <w:right w:val="nil"/>
            </w:tcBorders>
            <w:vAlign w:val="center"/>
          </w:tcPr>
          <w:p w:rsidR="007039ED" w:rsidRPr="00813E9A"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X1ggCEda","properties":{"formattedCitation":"[18]","plainCitation":"[18]"},"citationItems":[{"id":334,"uris":["http://zotero.org/users/local/kGI1o42T/items/M8DVH9MW"],"uri":["http://zotero.org/users/local/kGI1o42T/items/M8DVH9MW"],"itemData":{"id":334,"type":"article-journal","title":"Multiple PAR and E4BP4 bZIP transcription factors in zebrafish: diverse spatial and temporal expression patterns","container-title":"Chronobiology international","page":"1509-1531","volume":"27","issue":"8","abstract":"Circadian rhythms of physiology and behavior are generated by an autonomous circadian oscillator that is synchronized daily with the environment, mainly by light input. The PAR subfamily of transcriptional activators and the related E4BP4 repressor belonging to the basic leucine zipper (bZIP) family are clock-controlled genes that are suggested to mediate downstream circadian clock processes and to feedback onto the core oscillator. Here, the authors report the characterization of these genes in the zebrafish, an increasingly important model in the field of chronobiology. Five novel PAR and six novel e4bp4 zebrafish homolog genes were identified using bioinformatic tools and their coding sequences were cloned. Based on their evolutionary relationships, these genes were annotated as ztef2, zhlf1 and zhlf2, zdbp1 and zdbp2, and ze4bp4-1 to -6. The spatial and temporal mRNA expression pattern of each of these factors was characterized in zebrafish embryos in the context of a functional circadian clock and regulation by light. Nine of the factors exhibited augmented and rhythmic expression in the pineal gland, a central clock organ in zebrafish. Moreover, these genes were found to be regulated, to variable extents, by the circadian clock and/or by light. Differential expression patterns of multiple paralogs in zebrafish suggest multiple roles for these factors within the vertebrate circadian clock. This study, in the genetically accessible zebrafish model, lays the foundation for further research regarding the involvement and specific roles of PAR and E4BP4 transcription factors in the vertebrate circadian clock mechanism.","DOI":"10.3109/07420528.2010.510229","note":"PMID: 20854132","shortTitle":"Multiple PAR and E4BP4 bZIP transcription factors in zebrafish","journalAbbreviation":"Chronobiol. Int.","author":[{"family":"Ben-Moshe","given":"Zohar"},{"family":"Vatine","given":"Gad"},{"family":"Alon","given":"Shahar"},{"family":"Tovin","given":"Adi"},{"family":"Mracek","given":"Philipp"},{"family":"Foulkes","given":"Nicholas S"},{"family":"Gothilf","given":"Yoav"}],"issued":{"year":2010,"month":9},"accessed":{"year":2012,"month":5,"day":15},"page-first":"1509"}}],"schema":"https://github.com/citation-style-language/schema/raw/master/csl-citation.json"}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2</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 xml:space="preserve">Embryos pineal gland </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CT10-CT18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CT10</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fil3-2 (</w:t>
            </w:r>
            <w:r>
              <w:rPr>
                <w:rFonts w:ascii="Times New Roman" w:hAnsi="Times New Roman" w:cs="Times New Roman"/>
                <w:i/>
                <w:iCs/>
                <w:sz w:val="18"/>
                <w:szCs w:val="18"/>
              </w:rPr>
              <w:t>e</w:t>
            </w:r>
            <w:r w:rsidRPr="00C95B5C">
              <w:rPr>
                <w:rFonts w:ascii="Times New Roman" w:hAnsi="Times New Roman" w:cs="Times New Roman"/>
                <w:i/>
                <w:iCs/>
                <w:sz w:val="18"/>
                <w:szCs w:val="18"/>
              </w:rPr>
              <w:t>4pb4-2)</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Tl0PVOKX","properties":{"formattedCitation":"[18]","plainCitation":"[18]"},"citationItems":[{"id":334,"uris":["http://zotero.org/users/local/kGI1o42T/items/M8DVH9MW"],"uri":["http://zotero.org/users/local/kGI1o42T/items/M8DVH9MW"],"itemData":{"id":334,"type":"article-journal","title":"Multiple PAR and E4BP4 bZIP transcription factors in zebrafish: diverse spatial and temporal expression patterns","container-title":"Chronobiology international","page":"1509-1531","volume":"27","issue":"8","abstract":"Circadian rhythms of physiology and behavior are generated by an autonomous circadian oscillator that is synchronized daily with the environment, mainly by light input. The PAR subfamily of transcriptional activators and the related E4BP4 repressor belonging to the basic leucine zipper (bZIP) family are clock-controlled genes that are suggested to mediate downstream circadian clock processes and to feedback onto the core oscillator. Here, the authors report the characterization of these genes in the zebrafish, an increasingly important model in the field of chronobiology. Five novel PAR and six novel e4bp4 zebrafish homolog genes were identified using bioinformatic tools and their coding sequences were cloned. Based on their evolutionary relationships, these genes were annotated as ztef2, zhlf1 and zhlf2, zdbp1 and zdbp2, and ze4bp4-1 to -6. The spatial and temporal mRNA expression pattern of each of these factors was characterized in zebrafish embryos in the context of a functional circadian clock and regulation by light. Nine of the factors exhibited augmented and rhythmic expression in the pineal gland, a central clock organ in zebrafish. Moreover, these genes were found to be regulated, to variable extents, by the circadian clock and/or by light. Differential expression patterns of multiple paralogs in zebrafish suggest multiple roles for these factors within the vertebrate circadian clock. This study, in the genetically accessible zebrafish model, lays the foundation for further research regarding the involvement and specific roles of PAR and E4BP4 transcription factors in the vertebrate circadian clock mechanism.","DOI":"10.3109/07420528.2010.510229","note":"PMID: 20854132","shortTitle":"Multiple PAR and E4BP4 bZIP transcription factors in zebrafish","journalAbbreviation":"Chronobiol. Int.","author":[{"family":"Ben-Moshe","given":"Zohar"},{"family":"Vatine","given":"Gad"},{"family":"Alon","given":"Shahar"},{"family":"Tovin","given":"Adi"},{"family":"Mracek","given":"Philipp"},{"family":"Foulkes","given":"Nicholas S"},{"family":"Gothilf","given":"Yoav"}],"issued":{"year":2010,"month":9},"accessed":{"year":2012,"month":5,"day":15},"page-first":"1509"}}],"schema":"https://github.com/citation-style-language/schema/raw/master/csl-citation.json"}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2</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 xml:space="preserve">Embryos pineal gland </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CT10-CT14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highlight w:val="yellow"/>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CT10</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r w:rsidRPr="00C95B5C">
              <w:rPr>
                <w:rFonts w:ascii="Times New Roman" w:hAnsi="Times New Roman" w:cs="Times New Roman"/>
                <w:sz w:val="18"/>
                <w:szCs w:val="18"/>
                <w:vertAlign w:val="superscript"/>
              </w:rPr>
              <w:t>1</w:t>
            </w:r>
          </w:p>
        </w:tc>
        <w:tc>
          <w:tcPr>
            <w:tcW w:w="1676" w:type="dxa"/>
            <w:tcBorders>
              <w:top w:val="nil"/>
              <w:left w:val="nil"/>
              <w:bottom w:val="nil"/>
              <w:right w:val="nil"/>
            </w:tcBorders>
            <w:vAlign w:val="center"/>
          </w:tcPr>
          <w:p w:rsidR="007039ED" w:rsidRPr="00C95B5C" w:rsidRDefault="007039ED" w:rsidP="004F640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fil35 (</w:t>
            </w:r>
            <w:r>
              <w:rPr>
                <w:rFonts w:ascii="Times New Roman" w:hAnsi="Times New Roman" w:cs="Times New Roman"/>
                <w:i/>
                <w:iCs/>
                <w:sz w:val="18"/>
                <w:szCs w:val="18"/>
              </w:rPr>
              <w:t>e</w:t>
            </w:r>
            <w:r w:rsidRPr="00C95B5C">
              <w:rPr>
                <w:rFonts w:ascii="Times New Roman" w:hAnsi="Times New Roman" w:cs="Times New Roman"/>
                <w:i/>
                <w:iCs/>
                <w:sz w:val="18"/>
                <w:szCs w:val="18"/>
              </w:rPr>
              <w:t xml:space="preserve">4pb4-5) </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tBzDe7kM","properties":{"formattedCitation":"[18]","plainCitation":"[18]"},"citationItems":[{"id":334,"uris":["http://zotero.org/users/local/kGI1o42T/items/M8DVH9MW"],"uri":["http://zotero.org/users/local/kGI1o42T/items/M8DVH9MW"],"itemData":{"id":334,"type":"article-journal","title":"Multiple PAR and E4BP4 bZIP transcription factors in zebrafish: diverse spatial and temporal expression patterns","container-title":"Chronobiology international","page":"1509-1531","volume":"27","issue":"8","abstract":"Circadian rhythms of physiology and behavior are generated by an autonomous circadian oscillator that is synchronized daily with the environment, mainly by light input. The PAR subfamily of transcriptional activators and the related E4BP4 repressor belonging to the basic leucine zipper (bZIP) family are clock-controlled genes that are suggested to mediate downstream circadian clock processes and to feedback onto the core oscillator. Here, the authors report the characterization of these genes in the zebrafish, an increasingly important model in the field of chronobiology. Five novel PAR and six novel e4bp4 zebrafish homolog genes were identified using bioinformatic tools and their coding sequences were cloned. Based on their evolutionary relationships, these genes were annotated as ztef2, zhlf1 and zhlf2, zdbp1 and zdbp2, and ze4bp4-1 to -6. The spatial and temporal mRNA expression pattern of each of these factors was characterized in zebrafish embryos in the context of a functional circadian clock and regulation by light. Nine of the factors exhibited augmented and rhythmic expression in the pineal gland, a central clock organ in zebrafish. Moreover, these genes were found to be regulated, to variable extents, by the circadian clock and/or by light. Differential expression patterns of multiple paralogs in zebrafish suggest multiple roles for these factors within the vertebrate circadian clock. This study, in the genetically accessible zebrafish model, lays the foundation for further research regarding the involvement and specific roles of PAR and E4BP4 transcription factors in the vertebrate circadian clock mechanism.","DOI":"10.3109/07420528.2010.510229","note":"PMID: 20854132","shortTitle":"Multiple PAR and E4BP4 bZIP transcription factors in zebrafish","journalAbbreviation":"Chronobiol. Int.","author":[{"family":"Ben-Moshe","given":"Zohar"},{"family":"Vatine","given":"Gad"},{"family":"Alon","given":"Shahar"},{"family":"Tovin","given":"Adi"},{"family":"Mracek","given":"Philipp"},{"family":"Foulkes","given":"Nicholas S"},{"family":"Gothilf","given":"Yoav"}],"issued":{"year":2010,"month":9},"accessed":{"year":2012,"month":5,"day":15},"page-first":"1509"}}],"schema":"https://github.com/citation-style-language/schema/raw/master/csl-citation.json"}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2</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Embryos pineal gland</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 (LD)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CT6</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n</w:t>
            </w:r>
            <w:r w:rsidRPr="00C95B5C">
              <w:rPr>
                <w:rFonts w:ascii="Times New Roman" w:hAnsi="Times New Roman" w:cs="Times New Roman"/>
                <w:i/>
                <w:iCs/>
                <w:sz w:val="18"/>
                <w:szCs w:val="18"/>
              </w:rPr>
              <w:t>fil3-6 (</w:t>
            </w:r>
            <w:r>
              <w:rPr>
                <w:rFonts w:ascii="Times New Roman" w:hAnsi="Times New Roman" w:cs="Times New Roman"/>
                <w:i/>
                <w:iCs/>
                <w:sz w:val="18"/>
                <w:szCs w:val="18"/>
              </w:rPr>
              <w:t>e</w:t>
            </w:r>
            <w:r w:rsidRPr="00C95B5C">
              <w:rPr>
                <w:rFonts w:ascii="Times New Roman" w:hAnsi="Times New Roman" w:cs="Times New Roman"/>
                <w:i/>
                <w:iCs/>
                <w:sz w:val="18"/>
                <w:szCs w:val="18"/>
              </w:rPr>
              <w:t>4pb4-5)</w:t>
            </w:r>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qCtkoewZ","properties":{"formattedCitation":"[18]","plainCitation":"[18]"},"citationItems":[{"id":334,"uris":["http://zotero.org/users/local/kGI1o42T/items/M8DVH9MW"],"uri":["http://zotero.org/users/local/kGI1o42T/items/M8DVH9MW"],"itemData":{"id":334,"type":"article-journal","title":"Multiple PAR and E4BP4 bZIP transcription factors in zebrafish: diverse spatial and temporal expression patterns","container-title":"Chronobiology international","page":"1509-1531","volume":"27","issue":"8","abstract":"Circadian rhythms of physiology and behavior are generated by an autonomous circadian oscillator that is synchronized daily with the environment, mainly by light input. The PAR subfamily of transcriptional activators and the related E4BP4 repressor belonging to the basic leucine zipper (bZIP) family are clock-controlled genes that are suggested to mediate downstream circadian clock processes and to feedback onto the core oscillator. Here, the authors report the characterization of these genes in the zebrafish, an increasingly important model in the field of chronobiology. Five novel PAR and six novel e4bp4 zebrafish homolog genes were identified using bioinformatic tools and their coding sequences were cloned. Based on their evolutionary relationships, these genes were annotated as ztef2, zhlf1 and zhlf2, zdbp1 and zdbp2, and ze4bp4-1 to -6. The spatial and temporal mRNA expression pattern of each of these factors was characterized in zebrafish embryos in the context of a functional circadian clock and regulation by light. Nine of the factors exhibited augmented and rhythmic expression in the pineal gland, a central clock organ in zebrafish. Moreover, these genes were found to be regulated, to variable extents, by the circadian clock and/or by light. Differential expression patterns of multiple paralogs in zebrafish suggest multiple roles for these factors within the vertebrate circadian clock. This study, in the genetically accessible zebrafish model, lays the foundation for further research regarding the involvement and specific roles of PAR and E4BP4 transcription factors in the vertebrate circadian clock mechanism.","DOI":"10.3109/07420528.2010.510229","note":"PMID: 20854132","shortTitle":"Multiple PAR and E4BP4 bZIP transcription factors in zebrafish","journalAbbreviation":"Chronobiol. Int.","author":[{"family":"Ben-Moshe","given":"Zohar"},{"family":"Vatine","given":"Gad"},{"family":"Alon","given":"Shahar"},{"family":"Tovin","given":"Adi"},{"family":"Mracek","given":"Philipp"},{"family":"Foulkes","given":"Nicholas S"},{"family":"Gothilf","given":"Yoav"}],"issued":{"year":2010,"month":9},"accessed":{"year":2012,"month":5,"day":15},"page-first":"1509"}}],"schema":"https://github.com/citation-style-language/schema/raw/master/csl-citation.json"}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2</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 xml:space="preserve">Embryos pineal gland </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r w:rsidRPr="00055C52">
              <w:rPr>
                <w:rFonts w:ascii="Times New Roman" w:hAnsi="Times New Roman" w:cs="Times New Roman"/>
                <w:sz w:val="18"/>
                <w:szCs w:val="18"/>
                <w:vertAlign w:val="superscript"/>
              </w:rPr>
              <w:t>1</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proofErr w:type="spellStart"/>
            <w:r>
              <w:rPr>
                <w:rFonts w:ascii="Times New Roman" w:hAnsi="Times New Roman" w:cs="Times New Roman"/>
                <w:i/>
                <w:iCs/>
                <w:sz w:val="18"/>
                <w:szCs w:val="18"/>
              </w:rPr>
              <w:t>d</w:t>
            </w:r>
            <w:r w:rsidRPr="00C95B5C">
              <w:rPr>
                <w:rFonts w:ascii="Times New Roman" w:hAnsi="Times New Roman" w:cs="Times New Roman"/>
                <w:i/>
                <w:iCs/>
                <w:sz w:val="18"/>
                <w:szCs w:val="18"/>
              </w:rPr>
              <w:t>bpa</w:t>
            </w:r>
            <w:proofErr w:type="spellEnd"/>
          </w:p>
        </w:tc>
      </w:tr>
      <w:tr w:rsidR="007039ED" w:rsidRPr="00C95B5C" w:rsidTr="004F6408">
        <w:trPr>
          <w:trHeight w:val="450"/>
        </w:trPr>
        <w:tc>
          <w:tcPr>
            <w:tcW w:w="992" w:type="dxa"/>
            <w:tcBorders>
              <w:top w:val="nil"/>
              <w:left w:val="nil"/>
              <w:bottom w:val="nil"/>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XpbH9A5y","properties":{"formattedCitation":"[18]","plainCitation":"[18]"},"citationItems":[{"id":334,"uris":["http://zotero.org/users/local/kGI1o42T/items/M8DVH9MW"],"uri":["http://zotero.org/users/local/kGI1o42T/items/M8DVH9MW"],"itemData":{"id":334,"type":"article-journal","title":"Multiple PAR and E4BP4 bZIP transcription factors in zebrafish: diverse spatial and temporal expression patterns","container-title":"Chronobiology international","page":"1509-1531","volume":"27","issue":"8","abstract":"Circadian rhythms of physiology and behavior are generated by an autonomous circadian oscillator that is synchronized daily with the environment, mainly by light input. The PAR subfamily of transcriptional activators and the related E4BP4 repressor belonging to the basic leucine zipper (bZIP) family are clock-controlled genes that are suggested to mediate downstream circadian clock processes and to feedback onto the core oscillator. Here, the authors report the characterization of these genes in the zebrafish, an increasingly important model in the field of chronobiology. Five novel PAR and six novel e4bp4 zebrafish homolog genes were identified using bioinformatic tools and their coding sequences were cloned. Based on their evolutionary relationships, these genes were annotated as ztef2, zhlf1 and zhlf2, zdbp1 and zdbp2, and ze4bp4-1 to -6. The spatial and temporal mRNA expression pattern of each of these factors was characterized in zebrafish embryos in the context of a functional circadian clock and regulation by light. Nine of the factors exhibited augmented and rhythmic expression in the pineal gland, a central clock organ in zebrafish. Moreover, these genes were found to be regulated, to variable extents, by the circadian clock and/or by light. Differential expression patterns of multiple paralogs in zebrafish suggest multiple roles for these factors within the vertebrate circadian clock. This study, in the genetically accessible zebrafish model, lays the foundation for further research regarding the involvement and specific roles of PAR and E4BP4 transcription factors in the vertebrate circadian clock mechanism.","DOI":"10.3109/07420528.2010.510229","note":"PMID: 20854132","shortTitle":"Multiple PAR and E4BP4 bZIP transcription factors in zebrafish","journalAbbreviation":"Chronobiol. Int.","author":[{"family":"Ben-Moshe","given":"Zohar"},{"family":"Vatine","given":"Gad"},{"family":"Alon","given":"Shahar"},{"family":"Tovin","given":"Adi"},{"family":"Mracek","given":"Philipp"},{"family":"Foulkes","given":"Nicholas S"},{"family":"Gothilf","given":"Yoav"}],"issued":{"year":2010,"month":9},"accessed":{"year":2012,"month":5,"day":15},"page-first":"1509"}}],"schema":"https://github.com/citation-style-language/schema/raw/master/csl-citation.json"}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2</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Embryos pineal gland</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tl/>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w:t>
            </w:r>
          </w:p>
        </w:tc>
        <w:tc>
          <w:tcPr>
            <w:tcW w:w="1276"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proofErr w:type="spellStart"/>
            <w:r>
              <w:rPr>
                <w:rFonts w:ascii="Times New Roman" w:hAnsi="Times New Roman" w:cs="Times New Roman"/>
                <w:i/>
                <w:iCs/>
                <w:sz w:val="18"/>
                <w:szCs w:val="18"/>
              </w:rPr>
              <w:t>d</w:t>
            </w:r>
            <w:r w:rsidRPr="00C95B5C">
              <w:rPr>
                <w:rFonts w:ascii="Times New Roman" w:hAnsi="Times New Roman" w:cs="Times New Roman"/>
                <w:i/>
                <w:iCs/>
                <w:sz w:val="18"/>
                <w:szCs w:val="18"/>
              </w:rPr>
              <w:t>bpb</w:t>
            </w:r>
            <w:proofErr w:type="spellEnd"/>
          </w:p>
        </w:tc>
      </w:tr>
      <w:tr w:rsidR="007039ED" w:rsidRPr="00C95B5C" w:rsidTr="004F6408">
        <w:trPr>
          <w:trHeight w:val="450"/>
        </w:trPr>
        <w:tc>
          <w:tcPr>
            <w:tcW w:w="992" w:type="dxa"/>
            <w:tcBorders>
              <w:top w:val="nil"/>
              <w:left w:val="nil"/>
              <w:bottom w:val="nil"/>
              <w:right w:val="nil"/>
            </w:tcBorders>
            <w:vAlign w:val="center"/>
          </w:tcPr>
          <w:p w:rsidR="007039ED" w:rsidRPr="00813E9A"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wF7sSJcE","properties":{"formattedCitation":"[19]","plainCitation":"[19]"},"citationItems":[{"id":341,"uris":["http://zotero.org/users/local/kGI1o42T/items/RPTDSKQ5"],"uri":["http://zotero.org/users/local/kGI1o42T/items/RPTDSKQ5"],"itemData":{"id":341,"type":"article-journal","title":"Molecular analysis of Dec1 and Dec2 in the peripheral circadian clock of zebrafish photosensitive cells","container-title":"Biochemical and biophysical research communications","page":"1072-1077","volume":"351","issue":"4","abstract":"To elucidate the roles of DEC1 and DEC2, basic helix-loop-helix transcription factors, in the circadian clock of photosensitive zebrafish peripheral cells, zebrafish Dec1 and Dec2 (zDec1 and zDec2) were cloned and their functions and expression patterns were examined in BRF41, a zebrafish cell line. zDEC1 and zDEC2 have high sequence similarity to mammalian counterparts and the molecular phylogenetic analysis of the zDEC1 and zDEC2 sequences reflected the predicted pattern of species classification. zDEC1 and zDEC2 inhibited zCLOCK1:zBMAL3 mediated transcription as CRY1a. zDec1 and zDec2 mRNA showed robust circadian oscillation in BRF41 cells. However, zDec1 and zDec2 mRNA was not strongly induced by exposure to light. These results indicate that zDec1 and zDec2 are involved in the circadian clock mechanism in photosensitive zebrafish peripheral cells by suppressing CLOCK/BMAL-induced gene expression and that the feedback loops of zDEC1 and zDEC2 may be interlocked with the PER/CRY core circadian feedback loops.","DOI":"10.1016/j.bbrc.2006.10.172","note":"PMID: 17097613","journalAbbreviation":"Biochem. Biophys. Res. Commun.","author":[{"family":"Abe","given":"Tomotaka"},{"family":"Ishikawa","given":"Tomoko"},{"family":"Masuda","given":"Tomohiro"},{"family":"Mizusawa","given":"Kanta"},{"family":"Tsukamoto","given":"Toshiro"},{"family":"Mitani","given":"Hiroshi"},{"family":"Yanagisawa","given":"Tadashi"},{"family":"Todo","given":"Takeshi"},{"family":"Iigo","given":"Masayuki"}],"issued":{"year":2006,"month":12,"day":29},"accessed":{"year":2012,"month":5,"day":15},"page-first":"1072"}}],"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3</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BRF41 cells</w:t>
            </w:r>
          </w:p>
        </w:tc>
        <w:tc>
          <w:tcPr>
            <w:tcW w:w="1843" w:type="dxa"/>
            <w:gridSpan w:val="2"/>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CT2-CT6 (DD)</w:t>
            </w:r>
          </w:p>
        </w:tc>
        <w:tc>
          <w:tcPr>
            <w:tcW w:w="400" w:type="dxa"/>
            <w:tcBorders>
              <w:top w:val="nil"/>
              <w:left w:val="nil"/>
              <w:bottom w:val="nil"/>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nil"/>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w:t>
            </w:r>
          </w:p>
        </w:tc>
        <w:tc>
          <w:tcPr>
            <w:tcW w:w="12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r w:rsidRPr="00C95B5C">
              <w:rPr>
                <w:rFonts w:ascii="Times New Roman" w:hAnsi="Times New Roman" w:cs="Times New Roman"/>
                <w:sz w:val="18"/>
                <w:szCs w:val="18"/>
                <w:vertAlign w:val="superscript"/>
              </w:rPr>
              <w:t>1</w:t>
            </w:r>
          </w:p>
        </w:tc>
        <w:tc>
          <w:tcPr>
            <w:tcW w:w="1676" w:type="dxa"/>
            <w:tcBorders>
              <w:top w:val="nil"/>
              <w:left w:val="nil"/>
              <w:bottom w:val="nil"/>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b</w:t>
            </w:r>
            <w:r w:rsidRPr="00C95B5C">
              <w:rPr>
                <w:rFonts w:ascii="Times New Roman" w:hAnsi="Times New Roman" w:cs="Times New Roman"/>
                <w:i/>
                <w:iCs/>
                <w:sz w:val="18"/>
                <w:szCs w:val="18"/>
              </w:rPr>
              <w:t>hlhe40 (</w:t>
            </w:r>
            <w:r>
              <w:rPr>
                <w:rFonts w:ascii="Times New Roman" w:hAnsi="Times New Roman" w:cs="Times New Roman"/>
                <w:i/>
                <w:iCs/>
                <w:sz w:val="18"/>
                <w:szCs w:val="18"/>
              </w:rPr>
              <w:t>d</w:t>
            </w:r>
            <w:r w:rsidRPr="00C95B5C">
              <w:rPr>
                <w:rFonts w:ascii="Times New Roman" w:hAnsi="Times New Roman" w:cs="Times New Roman"/>
                <w:i/>
                <w:iCs/>
                <w:sz w:val="18"/>
                <w:szCs w:val="18"/>
              </w:rPr>
              <w:t>ec1)</w:t>
            </w:r>
          </w:p>
        </w:tc>
      </w:tr>
      <w:tr w:rsidR="007039ED" w:rsidRPr="00C95B5C" w:rsidTr="004F6408">
        <w:trPr>
          <w:trHeight w:val="450"/>
        </w:trPr>
        <w:tc>
          <w:tcPr>
            <w:tcW w:w="992" w:type="dxa"/>
            <w:tcBorders>
              <w:top w:val="nil"/>
              <w:left w:val="nil"/>
              <w:bottom w:val="single" w:sz="4" w:space="0" w:color="auto"/>
              <w:right w:val="nil"/>
            </w:tcBorders>
            <w:vAlign w:val="center"/>
          </w:tcPr>
          <w:p w:rsidR="007039ED" w:rsidRPr="00C95B5C" w:rsidRDefault="002E0683" w:rsidP="007039ED">
            <w:pPr>
              <w:bidi w:val="0"/>
              <w:rPr>
                <w:rFonts w:ascii="Times New Roman" w:hAnsi="Times New Roman" w:cs="Times New Roman"/>
                <w:sz w:val="18"/>
                <w:szCs w:val="18"/>
                <w:rtl/>
              </w:rPr>
            </w:pPr>
            <w:r w:rsidRPr="00813E9A">
              <w:rPr>
                <w:rFonts w:ascii="Times New Roman" w:hAnsi="Times New Roman" w:cs="Times New Roman"/>
                <w:sz w:val="18"/>
                <w:szCs w:val="18"/>
              </w:rPr>
              <w:fldChar w:fldCharType="begin"/>
            </w:r>
            <w:r w:rsidR="007039ED">
              <w:rPr>
                <w:rFonts w:ascii="Times New Roman" w:hAnsi="Times New Roman" w:cs="Times New Roman"/>
                <w:sz w:val="18"/>
                <w:szCs w:val="18"/>
              </w:rPr>
              <w:instrText xml:space="preserve"> ADDIN ZOTERO_ITEM CSL_CITATION {"citationID":"u47u9K95","properties":{"formattedCitation":"[19]","plainCitation":"[19]"},"citationItems":[{"id":341,"uris":["http://zotero.org/users/local/kGI1o42T/items/RPTDSKQ5"],"uri":["http://zotero.org/users/local/kGI1o42T/items/RPTDSKQ5"],"itemData":{"id":341,"type":"article-journal","title":"Molecular analysis of Dec1 and Dec2 in the peripheral circadian clock of zebrafish photosensitive cells","container-title":"Biochemical and biophysical research communications","page":"1072-1077","volume":"351","issue":"4","abstract":"To elucidate the roles of DEC1 and DEC2, basic helix-loop-helix transcription factors, in the circadian clock of photosensitive zebrafish peripheral cells, zebrafish Dec1 and Dec2 (zDec1 and zDec2) were cloned and their functions and expression patterns were examined in BRF41, a zebrafish cell line. zDEC1 and zDEC2 have high sequence similarity to mammalian counterparts and the molecular phylogenetic analysis of the zDEC1 and zDEC2 sequences reflected the predicted pattern of species classification. zDEC1 and zDEC2 inhibited zCLOCK1:zBMAL3 mediated transcription as CRY1a. zDec1 and zDec2 mRNA showed robust circadian oscillation in BRF41 cells. However, zDec1 and zDec2 mRNA was not strongly induced by exposure to light. These results indicate that zDec1 and zDec2 are involved in the circadian clock mechanism in photosensitive zebrafish peripheral cells by suppressing CLOCK/BMAL-induced gene expression and that the feedback loops of zDEC1 and zDEC2 may be interlocked with the PER/CRY core circadian feedback loops.","DOI":"10.1016/j.bbrc.2006.10.172","note":"PMID: 17097613","journalAbbreviation":"Biochem. Biophys. Res. Commun.","author":[{"family":"Abe","given":"Tomotaka"},{"family":"Ishikawa","given":"Tomoko"},{"family":"Masuda","given":"Tomohiro"},{"family":"Mizusawa","given":"Kanta"},{"family":"Tsukamoto","given":"Toshiro"},{"family":"Mitani","given":"Hiroshi"},{"family":"Yanagisawa","given":"Tadashi"},{"family":"Todo","given":"Takeshi"},{"family":"Iigo","given":"Masayuki"}],"issued":{"year":2006,"month":12,"day":29},"accessed":{"year":2012,"month":5,"day":15},"page-first":"1072"}}],"schema":"https://github.com/citation-style-language/schema/raw/master/csl-citation.json"} </w:instrText>
            </w:r>
            <w:r w:rsidRPr="00813E9A">
              <w:rPr>
                <w:rFonts w:ascii="Times New Roman" w:hAnsi="Times New Roman" w:cs="Times New Roman"/>
                <w:sz w:val="18"/>
                <w:szCs w:val="18"/>
              </w:rPr>
              <w:fldChar w:fldCharType="separate"/>
            </w:r>
            <w:r w:rsidR="007039ED" w:rsidRPr="008E729D">
              <w:rPr>
                <w:rFonts w:ascii="Times New Roman" w:hAnsi="Times New Roman" w:cs="Times New Roman"/>
                <w:sz w:val="18"/>
              </w:rPr>
              <w:t>[</w:t>
            </w:r>
            <w:r w:rsidR="007039ED">
              <w:rPr>
                <w:rFonts w:ascii="Times New Roman" w:hAnsi="Times New Roman" w:cs="Times New Roman"/>
                <w:sz w:val="18"/>
              </w:rPr>
              <w:t>3</w:t>
            </w:r>
            <w:r w:rsidR="007039ED" w:rsidRPr="008E729D">
              <w:rPr>
                <w:rFonts w:ascii="Times New Roman" w:hAnsi="Times New Roman" w:cs="Times New Roman"/>
                <w:sz w:val="18"/>
              </w:rPr>
              <w:t>]</w:t>
            </w:r>
            <w:r w:rsidRPr="00813E9A">
              <w:rPr>
                <w:rFonts w:ascii="Times New Roman" w:hAnsi="Times New Roman" w:cs="Times New Roman"/>
                <w:sz w:val="18"/>
                <w:szCs w:val="18"/>
              </w:rPr>
              <w:fldChar w:fldCharType="end"/>
            </w:r>
          </w:p>
        </w:tc>
        <w:tc>
          <w:tcPr>
            <w:tcW w:w="1843" w:type="dxa"/>
            <w:tcBorders>
              <w:top w:val="nil"/>
              <w:left w:val="nil"/>
              <w:bottom w:val="single" w:sz="4" w:space="0" w:color="auto"/>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BRF41 cells</w:t>
            </w:r>
          </w:p>
        </w:tc>
        <w:tc>
          <w:tcPr>
            <w:tcW w:w="1843" w:type="dxa"/>
            <w:gridSpan w:val="2"/>
            <w:tcBorders>
              <w:top w:val="nil"/>
              <w:left w:val="nil"/>
              <w:bottom w:val="single" w:sz="4" w:space="0" w:color="auto"/>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CT22-CT2 (DD)</w:t>
            </w:r>
          </w:p>
        </w:tc>
        <w:tc>
          <w:tcPr>
            <w:tcW w:w="400" w:type="dxa"/>
            <w:tcBorders>
              <w:top w:val="nil"/>
              <w:left w:val="nil"/>
              <w:bottom w:val="single" w:sz="4" w:space="0" w:color="auto"/>
              <w:right w:val="nil"/>
            </w:tcBorders>
          </w:tcPr>
          <w:p w:rsidR="007039ED" w:rsidRPr="00C95B5C" w:rsidRDefault="007039ED" w:rsidP="000161A8">
            <w:pPr>
              <w:bidi w:val="0"/>
              <w:rPr>
                <w:rFonts w:ascii="Times New Roman" w:hAnsi="Times New Roman" w:cs="Times New Roman"/>
                <w:sz w:val="18"/>
                <w:szCs w:val="18"/>
              </w:rPr>
            </w:pPr>
          </w:p>
        </w:tc>
        <w:tc>
          <w:tcPr>
            <w:tcW w:w="1301" w:type="dxa"/>
            <w:tcBorders>
              <w:top w:val="nil"/>
              <w:left w:val="nil"/>
              <w:bottom w:val="single" w:sz="4" w:space="0" w:color="auto"/>
              <w:right w:val="nil"/>
            </w:tcBorders>
            <w:shd w:val="clear" w:color="auto" w:fill="auto"/>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CT22</w:t>
            </w:r>
          </w:p>
        </w:tc>
        <w:tc>
          <w:tcPr>
            <w:tcW w:w="1276" w:type="dxa"/>
            <w:tcBorders>
              <w:top w:val="nil"/>
              <w:left w:val="nil"/>
              <w:bottom w:val="single" w:sz="4" w:space="0" w:color="auto"/>
              <w:right w:val="nil"/>
            </w:tcBorders>
            <w:vAlign w:val="center"/>
          </w:tcPr>
          <w:p w:rsidR="007039ED" w:rsidRPr="00C95B5C" w:rsidRDefault="007039ED" w:rsidP="000161A8">
            <w:pPr>
              <w:bidi w:val="0"/>
              <w:rPr>
                <w:rFonts w:ascii="Times New Roman" w:hAnsi="Times New Roman" w:cs="Times New Roman"/>
                <w:sz w:val="18"/>
                <w:szCs w:val="18"/>
                <w:rtl/>
              </w:rPr>
            </w:pPr>
            <w:r w:rsidRPr="00C95B5C">
              <w:rPr>
                <w:rFonts w:ascii="Times New Roman" w:hAnsi="Times New Roman" w:cs="Times New Roman"/>
                <w:sz w:val="18"/>
                <w:szCs w:val="18"/>
              </w:rPr>
              <w:t>Circadian</w:t>
            </w:r>
            <w:r w:rsidRPr="00055C52">
              <w:rPr>
                <w:rFonts w:ascii="Times New Roman" w:hAnsi="Times New Roman" w:cs="Times New Roman"/>
                <w:sz w:val="18"/>
                <w:szCs w:val="18"/>
                <w:vertAlign w:val="superscript"/>
              </w:rPr>
              <w:t>1</w:t>
            </w:r>
          </w:p>
        </w:tc>
        <w:tc>
          <w:tcPr>
            <w:tcW w:w="1676" w:type="dxa"/>
            <w:tcBorders>
              <w:top w:val="nil"/>
              <w:left w:val="nil"/>
              <w:bottom w:val="single" w:sz="4" w:space="0" w:color="auto"/>
              <w:right w:val="nil"/>
            </w:tcBorders>
            <w:vAlign w:val="center"/>
          </w:tcPr>
          <w:p w:rsidR="007039ED" w:rsidRPr="00C95B5C" w:rsidRDefault="007039ED" w:rsidP="000161A8">
            <w:pPr>
              <w:bidi w:val="0"/>
              <w:rPr>
                <w:rFonts w:ascii="Times New Roman" w:hAnsi="Times New Roman" w:cs="Times New Roman"/>
                <w:i/>
                <w:iCs/>
                <w:sz w:val="18"/>
                <w:szCs w:val="18"/>
              </w:rPr>
            </w:pPr>
            <w:r>
              <w:rPr>
                <w:rFonts w:ascii="Times New Roman" w:hAnsi="Times New Roman" w:cs="Times New Roman"/>
                <w:i/>
                <w:iCs/>
                <w:sz w:val="18"/>
                <w:szCs w:val="18"/>
              </w:rPr>
              <w:t>b</w:t>
            </w:r>
            <w:r w:rsidRPr="00C95B5C">
              <w:rPr>
                <w:rFonts w:ascii="Times New Roman" w:hAnsi="Times New Roman" w:cs="Times New Roman"/>
                <w:i/>
                <w:iCs/>
                <w:sz w:val="18"/>
                <w:szCs w:val="18"/>
              </w:rPr>
              <w:t>hlhe41 (</w:t>
            </w:r>
            <w:r>
              <w:rPr>
                <w:rFonts w:ascii="Times New Roman" w:hAnsi="Times New Roman" w:cs="Times New Roman"/>
                <w:i/>
                <w:iCs/>
                <w:sz w:val="18"/>
                <w:szCs w:val="18"/>
              </w:rPr>
              <w:t>d</w:t>
            </w:r>
            <w:r w:rsidRPr="00C95B5C">
              <w:rPr>
                <w:rFonts w:ascii="Times New Roman" w:hAnsi="Times New Roman" w:cs="Times New Roman"/>
                <w:i/>
                <w:iCs/>
                <w:sz w:val="18"/>
                <w:szCs w:val="18"/>
              </w:rPr>
              <w:t>ec2)</w:t>
            </w:r>
          </w:p>
        </w:tc>
      </w:tr>
    </w:tbl>
    <w:p w:rsidR="007039ED" w:rsidRDefault="007039ED" w:rsidP="007039ED">
      <w:pPr>
        <w:bidi w:val="0"/>
        <w:jc w:val="both"/>
        <w:rPr>
          <w:rFonts w:ascii="Times New Roman" w:hAnsi="Times New Roman" w:cs="Times New Roman"/>
          <w:b/>
          <w:bCs/>
        </w:rPr>
      </w:pPr>
      <w:r w:rsidRPr="00AF5842">
        <w:rPr>
          <w:rFonts w:ascii="Times New Roman" w:hAnsi="Times New Roman" w:cs="Times New Roman"/>
          <w:vertAlign w:val="superscript"/>
        </w:rPr>
        <w:t>1</w:t>
      </w:r>
      <w:r w:rsidRPr="00AF5842">
        <w:rPr>
          <w:rFonts w:ascii="Times New Roman" w:hAnsi="Times New Roman" w:cs="Times New Roman"/>
        </w:rPr>
        <w:t xml:space="preserve">These genes were also identified using </w:t>
      </w:r>
      <w:r>
        <w:rPr>
          <w:rFonts w:ascii="Times New Roman" w:hAnsi="Times New Roman" w:cs="Times New Roman"/>
        </w:rPr>
        <w:t>the DNA microarray data</w:t>
      </w:r>
    </w:p>
    <w:p w:rsidR="007039ED" w:rsidRDefault="007039ED" w:rsidP="007039ED">
      <w:pPr>
        <w:autoSpaceDE w:val="0"/>
        <w:autoSpaceDN w:val="0"/>
        <w:bidi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References:</w:t>
      </w:r>
    </w:p>
    <w:p w:rsidR="007039ED" w:rsidRPr="007039ED" w:rsidRDefault="007039ED" w:rsidP="007039ED">
      <w:pPr>
        <w:autoSpaceDE w:val="0"/>
        <w:autoSpaceDN w:val="0"/>
        <w:bidi w:val="0"/>
        <w:adjustRightInd w:val="0"/>
        <w:spacing w:after="0" w:line="240" w:lineRule="auto"/>
        <w:jc w:val="both"/>
        <w:rPr>
          <w:rFonts w:ascii="Times New Roman" w:eastAsia="Times New Roman" w:hAnsi="Times New Roman" w:cs="Times New Roman"/>
        </w:rPr>
      </w:pPr>
    </w:p>
    <w:p w:rsidR="007039ED" w:rsidRDefault="007039ED" w:rsidP="007039ED">
      <w:pPr>
        <w:pStyle w:val="Bibliography"/>
        <w:bidi w:val="0"/>
        <w:jc w:val="both"/>
        <w:rPr>
          <w:rFonts w:ascii="Times New Roman" w:hAnsi="Times New Roman" w:cs="Times New Roman"/>
        </w:rPr>
      </w:pPr>
      <w:r>
        <w:rPr>
          <w:rFonts w:ascii="Times New Roman" w:hAnsi="Times New Roman" w:cs="Times New Roman"/>
        </w:rPr>
        <w:t xml:space="preserve">1. </w:t>
      </w:r>
      <w:proofErr w:type="spellStart"/>
      <w:r w:rsidRPr="008B6486">
        <w:rPr>
          <w:rFonts w:ascii="Times New Roman" w:hAnsi="Times New Roman" w:cs="Times New Roman"/>
        </w:rPr>
        <w:t>Amaral</w:t>
      </w:r>
      <w:proofErr w:type="spellEnd"/>
      <w:r w:rsidRPr="008B6486">
        <w:rPr>
          <w:rFonts w:ascii="Times New Roman" w:hAnsi="Times New Roman" w:cs="Times New Roman"/>
        </w:rPr>
        <w:t xml:space="preserve"> IPG, Johnston IA (2012) </w:t>
      </w:r>
      <w:proofErr w:type="gramStart"/>
      <w:r w:rsidRPr="008B6486">
        <w:rPr>
          <w:rFonts w:ascii="Times New Roman" w:hAnsi="Times New Roman" w:cs="Times New Roman"/>
        </w:rPr>
        <w:t>Circadian</w:t>
      </w:r>
      <w:proofErr w:type="gramEnd"/>
      <w:r w:rsidRPr="008B6486">
        <w:rPr>
          <w:rFonts w:ascii="Times New Roman" w:hAnsi="Times New Roman" w:cs="Times New Roman"/>
        </w:rPr>
        <w:t xml:space="preserve"> expression of clock and putative clock-controlled genes in skeletal muscle of the </w:t>
      </w:r>
      <w:proofErr w:type="spellStart"/>
      <w:r w:rsidRPr="008B6486">
        <w:rPr>
          <w:rFonts w:ascii="Times New Roman" w:hAnsi="Times New Roman" w:cs="Times New Roman"/>
        </w:rPr>
        <w:t>zebrafish</w:t>
      </w:r>
      <w:proofErr w:type="spellEnd"/>
      <w:r w:rsidRPr="008B6486">
        <w:rPr>
          <w:rFonts w:ascii="Times New Roman" w:hAnsi="Times New Roman" w:cs="Times New Roman"/>
        </w:rPr>
        <w:t xml:space="preserve">. Am J </w:t>
      </w:r>
      <w:proofErr w:type="spellStart"/>
      <w:r w:rsidRPr="008B6486">
        <w:rPr>
          <w:rFonts w:ascii="Times New Roman" w:hAnsi="Times New Roman" w:cs="Times New Roman"/>
        </w:rPr>
        <w:t>PhysiolRegulIntegr</w:t>
      </w:r>
      <w:proofErr w:type="spellEnd"/>
      <w:r w:rsidRPr="008B6486">
        <w:rPr>
          <w:rFonts w:ascii="Times New Roman" w:hAnsi="Times New Roman" w:cs="Times New Roman"/>
        </w:rPr>
        <w:t xml:space="preserve"> Comp </w:t>
      </w:r>
      <w:proofErr w:type="spellStart"/>
      <w:r w:rsidRPr="008B6486">
        <w:rPr>
          <w:rFonts w:ascii="Times New Roman" w:hAnsi="Times New Roman" w:cs="Times New Roman"/>
        </w:rPr>
        <w:t>Physiol</w:t>
      </w:r>
      <w:proofErr w:type="spellEnd"/>
      <w:r w:rsidRPr="008B6486">
        <w:rPr>
          <w:rFonts w:ascii="Times New Roman" w:hAnsi="Times New Roman" w:cs="Times New Roman"/>
        </w:rPr>
        <w:t xml:space="preserve"> 302: R193–</w:t>
      </w:r>
      <w:proofErr w:type="gramStart"/>
      <w:r w:rsidRPr="008B6486">
        <w:rPr>
          <w:rFonts w:ascii="Times New Roman" w:hAnsi="Times New Roman" w:cs="Times New Roman"/>
        </w:rPr>
        <w:t>R206.</w:t>
      </w:r>
      <w:proofErr w:type="gramEnd"/>
    </w:p>
    <w:p w:rsidR="007039ED" w:rsidRPr="008B6486" w:rsidRDefault="007039ED" w:rsidP="007039ED">
      <w:pPr>
        <w:pStyle w:val="Bibliography"/>
        <w:bidi w:val="0"/>
        <w:jc w:val="both"/>
        <w:rPr>
          <w:rFonts w:ascii="Times New Roman" w:hAnsi="Times New Roman" w:cs="Times New Roman"/>
        </w:rPr>
      </w:pPr>
      <w:r>
        <w:rPr>
          <w:rFonts w:ascii="Times New Roman" w:hAnsi="Times New Roman" w:cs="Times New Roman"/>
        </w:rPr>
        <w:t xml:space="preserve">2. </w:t>
      </w:r>
      <w:r w:rsidRPr="008B6486">
        <w:rPr>
          <w:rFonts w:ascii="Times New Roman" w:hAnsi="Times New Roman" w:cs="Times New Roman"/>
        </w:rPr>
        <w:t xml:space="preserve">Ben-Moshe Z, </w:t>
      </w:r>
      <w:proofErr w:type="spellStart"/>
      <w:r w:rsidRPr="008B6486">
        <w:rPr>
          <w:rFonts w:ascii="Times New Roman" w:hAnsi="Times New Roman" w:cs="Times New Roman"/>
        </w:rPr>
        <w:t>Vatine</w:t>
      </w:r>
      <w:proofErr w:type="spellEnd"/>
      <w:r w:rsidRPr="008B6486">
        <w:rPr>
          <w:rFonts w:ascii="Times New Roman" w:hAnsi="Times New Roman" w:cs="Times New Roman"/>
        </w:rPr>
        <w:t xml:space="preserve"> G, </w:t>
      </w:r>
      <w:proofErr w:type="spellStart"/>
      <w:r w:rsidRPr="008B6486">
        <w:rPr>
          <w:rFonts w:ascii="Times New Roman" w:hAnsi="Times New Roman" w:cs="Times New Roman"/>
        </w:rPr>
        <w:t>Alon</w:t>
      </w:r>
      <w:proofErr w:type="spellEnd"/>
      <w:r w:rsidRPr="008B6486">
        <w:rPr>
          <w:rFonts w:ascii="Times New Roman" w:hAnsi="Times New Roman" w:cs="Times New Roman"/>
        </w:rPr>
        <w:t xml:space="preserve"> S, </w:t>
      </w:r>
      <w:proofErr w:type="spellStart"/>
      <w:r w:rsidRPr="008B6486">
        <w:rPr>
          <w:rFonts w:ascii="Times New Roman" w:hAnsi="Times New Roman" w:cs="Times New Roman"/>
        </w:rPr>
        <w:t>Tovin</w:t>
      </w:r>
      <w:proofErr w:type="spellEnd"/>
      <w:r w:rsidRPr="008B6486">
        <w:rPr>
          <w:rFonts w:ascii="Times New Roman" w:hAnsi="Times New Roman" w:cs="Times New Roman"/>
        </w:rPr>
        <w:t xml:space="preserve"> A, </w:t>
      </w:r>
      <w:proofErr w:type="spellStart"/>
      <w:r w:rsidRPr="008B6486">
        <w:rPr>
          <w:rFonts w:ascii="Times New Roman" w:hAnsi="Times New Roman" w:cs="Times New Roman"/>
        </w:rPr>
        <w:t>Mracek</w:t>
      </w:r>
      <w:proofErr w:type="spellEnd"/>
      <w:r w:rsidRPr="008B6486">
        <w:rPr>
          <w:rFonts w:ascii="Times New Roman" w:hAnsi="Times New Roman" w:cs="Times New Roman"/>
        </w:rPr>
        <w:t xml:space="preserve"> P, et al. (2010) Multiple PAR and E4BP4 </w:t>
      </w:r>
      <w:proofErr w:type="spellStart"/>
      <w:r w:rsidRPr="008B6486">
        <w:rPr>
          <w:rFonts w:ascii="Times New Roman" w:hAnsi="Times New Roman" w:cs="Times New Roman"/>
        </w:rPr>
        <w:t>bZIP</w:t>
      </w:r>
      <w:proofErr w:type="spellEnd"/>
      <w:r w:rsidRPr="008B6486">
        <w:rPr>
          <w:rFonts w:ascii="Times New Roman" w:hAnsi="Times New Roman" w:cs="Times New Roman"/>
        </w:rPr>
        <w:t xml:space="preserve"> transcription factors in </w:t>
      </w:r>
      <w:proofErr w:type="spellStart"/>
      <w:r w:rsidRPr="008B6486">
        <w:rPr>
          <w:rFonts w:ascii="Times New Roman" w:hAnsi="Times New Roman" w:cs="Times New Roman"/>
        </w:rPr>
        <w:t>zebrafish</w:t>
      </w:r>
      <w:proofErr w:type="spellEnd"/>
      <w:r w:rsidRPr="008B6486">
        <w:rPr>
          <w:rFonts w:ascii="Times New Roman" w:hAnsi="Times New Roman" w:cs="Times New Roman"/>
        </w:rPr>
        <w:t xml:space="preserve">: diverse spatial and temporal expression patterns. </w:t>
      </w:r>
      <w:proofErr w:type="spellStart"/>
      <w:r w:rsidRPr="008B6486">
        <w:rPr>
          <w:rFonts w:ascii="Times New Roman" w:hAnsi="Times New Roman" w:cs="Times New Roman"/>
        </w:rPr>
        <w:t>ChronobiolInt</w:t>
      </w:r>
      <w:proofErr w:type="spellEnd"/>
      <w:r w:rsidRPr="008B6486">
        <w:rPr>
          <w:rFonts w:ascii="Times New Roman" w:hAnsi="Times New Roman" w:cs="Times New Roman"/>
        </w:rPr>
        <w:t xml:space="preserve"> 27: 1509–1531. </w:t>
      </w:r>
    </w:p>
    <w:p w:rsidR="007039ED" w:rsidRPr="008B6486" w:rsidRDefault="007039ED" w:rsidP="007039ED">
      <w:pPr>
        <w:pStyle w:val="Bibliography"/>
        <w:bidi w:val="0"/>
        <w:jc w:val="both"/>
        <w:rPr>
          <w:rFonts w:ascii="Times New Roman" w:hAnsi="Times New Roman" w:cs="Times New Roman"/>
        </w:rPr>
      </w:pPr>
      <w:r>
        <w:rPr>
          <w:rFonts w:ascii="Times New Roman" w:hAnsi="Times New Roman" w:cs="Times New Roman"/>
        </w:rPr>
        <w:t xml:space="preserve">3. </w:t>
      </w:r>
      <w:r w:rsidRPr="008B6486">
        <w:rPr>
          <w:rFonts w:ascii="Times New Roman" w:hAnsi="Times New Roman" w:cs="Times New Roman"/>
        </w:rPr>
        <w:t xml:space="preserve">Abe T, Ishikawa T, Masuda T, </w:t>
      </w:r>
      <w:proofErr w:type="spellStart"/>
      <w:r w:rsidRPr="008B6486">
        <w:rPr>
          <w:rFonts w:ascii="Times New Roman" w:hAnsi="Times New Roman" w:cs="Times New Roman"/>
        </w:rPr>
        <w:t>Mizusawa</w:t>
      </w:r>
      <w:proofErr w:type="spellEnd"/>
      <w:r w:rsidRPr="008B6486">
        <w:rPr>
          <w:rFonts w:ascii="Times New Roman" w:hAnsi="Times New Roman" w:cs="Times New Roman"/>
        </w:rPr>
        <w:t xml:space="preserve"> K, Tsukamoto T, et al. (2006) Molecular analysis of Dec1 and Dec2 in the peripheral circadian clock of </w:t>
      </w:r>
      <w:proofErr w:type="spellStart"/>
      <w:r w:rsidRPr="008B6486">
        <w:rPr>
          <w:rFonts w:ascii="Times New Roman" w:hAnsi="Times New Roman" w:cs="Times New Roman"/>
        </w:rPr>
        <w:t>zebrafish</w:t>
      </w:r>
      <w:proofErr w:type="spellEnd"/>
      <w:r w:rsidRPr="008B6486">
        <w:rPr>
          <w:rFonts w:ascii="Times New Roman" w:hAnsi="Times New Roman" w:cs="Times New Roman"/>
        </w:rPr>
        <w:t xml:space="preserve"> photosensitive cells. </w:t>
      </w:r>
      <w:proofErr w:type="spellStart"/>
      <w:r w:rsidRPr="008B6486">
        <w:rPr>
          <w:rFonts w:ascii="Times New Roman" w:hAnsi="Times New Roman" w:cs="Times New Roman"/>
        </w:rPr>
        <w:t>BiochemBiophys</w:t>
      </w:r>
      <w:proofErr w:type="spellEnd"/>
      <w:r w:rsidRPr="008B6486">
        <w:rPr>
          <w:rFonts w:ascii="Times New Roman" w:hAnsi="Times New Roman" w:cs="Times New Roman"/>
        </w:rPr>
        <w:t xml:space="preserve"> Res </w:t>
      </w:r>
      <w:proofErr w:type="spellStart"/>
      <w:r w:rsidRPr="008B6486">
        <w:rPr>
          <w:rFonts w:ascii="Times New Roman" w:hAnsi="Times New Roman" w:cs="Times New Roman"/>
        </w:rPr>
        <w:t>Commun</w:t>
      </w:r>
      <w:proofErr w:type="spellEnd"/>
      <w:r w:rsidRPr="008B6486">
        <w:rPr>
          <w:rFonts w:ascii="Times New Roman" w:hAnsi="Times New Roman" w:cs="Times New Roman"/>
        </w:rPr>
        <w:t xml:space="preserve"> 351: 1072–1077.</w:t>
      </w:r>
    </w:p>
    <w:p w:rsidR="002A4E90" w:rsidRPr="007039ED" w:rsidRDefault="002A4E90" w:rsidP="007039ED">
      <w:pPr>
        <w:bidi w:val="0"/>
      </w:pPr>
    </w:p>
    <w:sectPr w:rsidR="002A4E90" w:rsidRPr="007039ED" w:rsidSect="00F257F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A86"/>
    <w:rsid w:val="002A4E90"/>
    <w:rsid w:val="002E0683"/>
    <w:rsid w:val="00393A86"/>
    <w:rsid w:val="004F6408"/>
    <w:rsid w:val="006763D1"/>
    <w:rsid w:val="007039ED"/>
    <w:rsid w:val="00A746FB"/>
    <w:rsid w:val="00C30DB6"/>
    <w:rsid w:val="00F257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8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70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8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7039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5948</Words>
  <Characters>29745</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dc:creator>
  <cp:lastModifiedBy>labappelbaum</cp:lastModifiedBy>
  <cp:revision>3</cp:revision>
  <dcterms:created xsi:type="dcterms:W3CDTF">2012-11-04T22:53:00Z</dcterms:created>
  <dcterms:modified xsi:type="dcterms:W3CDTF">2012-11-05T16:31:00Z</dcterms:modified>
</cp:coreProperties>
</file>