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D7B371" w14:textId="74AD6C5E" w:rsidR="002F7E04" w:rsidRDefault="00650196" w:rsidP="0050771A">
      <w:pPr>
        <w:pStyle w:val="Heading2"/>
        <w:rPr>
          <w:szCs w:val="20"/>
        </w:rPr>
      </w:pPr>
      <w:r>
        <w:t>S</w:t>
      </w:r>
      <w:r w:rsidR="0050771A">
        <w:t>6</w:t>
      </w:r>
      <w:r>
        <w:t xml:space="preserve"> Fig</w:t>
      </w:r>
      <w:r w:rsidR="0050771A">
        <w:t xml:space="preserve">. </w:t>
      </w:r>
      <w:r w:rsidR="008E4542">
        <w:t xml:space="preserve">Plot indicating the number of heterogeneous SNP instruments </w:t>
      </w:r>
      <w:r w:rsidR="00337B2B" w:rsidRPr="00337B2B">
        <w:t xml:space="preserve">on chromosome 9 </w:t>
      </w:r>
      <w:r w:rsidR="008E4542">
        <w:t>from biomarkers identified in the respiratory support/death as a result of COVID-19 GWAS</w:t>
      </w:r>
    </w:p>
    <w:p w14:paraId="320BBA9D" w14:textId="3EB4CC5D" w:rsidR="002F7E04" w:rsidRDefault="008E4542">
      <w:pPr>
        <w:jc w:val="center"/>
      </w:pPr>
      <w:bookmarkStart w:id="0" w:name="_heading=h.g3w0zry0xntq" w:colFirst="0" w:colLast="0"/>
      <w:bookmarkEnd w:id="0"/>
      <w:r>
        <w:rPr>
          <w:noProof/>
        </w:rPr>
        <w:drawing>
          <wp:inline distT="114300" distB="114300" distL="114300" distR="114300" wp14:anchorId="00DFD911" wp14:editId="26971A33">
            <wp:extent cx="4019550" cy="3724275"/>
            <wp:effectExtent l="0" t="0" r="0" b="0"/>
            <wp:docPr id="28"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a:srcRect t="3080" b="4262"/>
                    <a:stretch>
                      <a:fillRect/>
                    </a:stretch>
                  </pic:blipFill>
                  <pic:spPr>
                    <a:xfrm>
                      <a:off x="0" y="0"/>
                      <a:ext cx="4019550" cy="3724275"/>
                    </a:xfrm>
                    <a:prstGeom prst="rect">
                      <a:avLst/>
                    </a:prstGeom>
                    <a:ln/>
                  </pic:spPr>
                </pic:pic>
              </a:graphicData>
            </a:graphic>
          </wp:inline>
        </w:drawing>
      </w:r>
    </w:p>
    <w:p w14:paraId="3910D836" w14:textId="77777777" w:rsidR="0050771A" w:rsidRDefault="0050771A">
      <w:pPr>
        <w:jc w:val="center"/>
      </w:pPr>
    </w:p>
    <w:p w14:paraId="0702D43B" w14:textId="77777777" w:rsidR="002F7E04" w:rsidRDefault="008E4542">
      <w:pPr>
        <w:rPr>
          <w:sz w:val="20"/>
          <w:szCs w:val="20"/>
        </w:rPr>
      </w:pPr>
      <w:bookmarkStart w:id="1" w:name="_heading=h.fhkusrugmx4q" w:colFirst="0" w:colLast="0"/>
      <w:bookmarkEnd w:id="1"/>
      <w:r>
        <w:rPr>
          <w:sz w:val="22"/>
          <w:szCs w:val="22"/>
        </w:rPr>
        <w:t>This plot displays the number of SNPs in high linkage disequilibrium (r2&gt;0.6) used as instruments in blood proteins associated with higher/lower odds of espiratory support/death as a result of COVID-19, located on chromosome 9 between different blood markers. The diagonal indicates the total number of instruments for each marker on chromosome 9. The colour and size of the circles indicates which proportion of SNPs shared between the marker in each row and the corresponding column marker. ABO = ABO system transferase; C1GALT1C1 = C1GALT1 specific chaperone 1; CD207 = langerin; GCNT4 = glucosaminyl (N-Acetyl) transferase 4; LCTL = Lactase-like protein; PECAM1 = platelet endothelial cell adhesion molecule; RAB14 = ras-related protein rab-14; SELE = E-selectin; SELL =  L-selectin; sICAM1= Soluble intercellular adhesion molecule-1.</w:t>
      </w:r>
    </w:p>
    <w:p w14:paraId="056E4386" w14:textId="564373F2" w:rsidR="002F7E04" w:rsidRPr="003B59E0" w:rsidRDefault="002F7E04" w:rsidP="003B59E0">
      <w:pPr>
        <w:spacing w:line="480" w:lineRule="auto"/>
        <w:jc w:val="both"/>
        <w:rPr>
          <w:b/>
          <w:sz w:val="20"/>
          <w:szCs w:val="20"/>
        </w:rPr>
      </w:pPr>
    </w:p>
    <w:sectPr w:rsidR="002F7E04" w:rsidRPr="003B59E0">
      <w:footerReference w:type="default" r:id="rId9"/>
      <w:pgSz w:w="15840" w:h="12240" w:orient="landscape"/>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14CD10" w14:textId="77777777" w:rsidR="00AD22DB" w:rsidRDefault="00AD22DB">
      <w:r>
        <w:separator/>
      </w:r>
    </w:p>
  </w:endnote>
  <w:endnote w:type="continuationSeparator" w:id="0">
    <w:p w14:paraId="72865015" w14:textId="77777777" w:rsidR="00AD22DB" w:rsidRDefault="00AD22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116A61" w14:textId="77777777" w:rsidR="002F7E04" w:rsidRDefault="008E4542">
    <w:r>
      <w:fldChar w:fldCharType="begin"/>
    </w:r>
    <w:r>
      <w:instrText>PAGE</w:instrText>
    </w:r>
    <w:r>
      <w:fldChar w:fldCharType="separate"/>
    </w:r>
    <w:r w:rsidR="00077A04">
      <w:rPr>
        <w:noProof/>
      </w:rPr>
      <w:t>1</w:t>
    </w:r>
    <w:r>
      <w:fldChar w:fldCharType="end"/>
    </w:r>
  </w:p>
  <w:p w14:paraId="012AF292" w14:textId="77777777" w:rsidR="002F7E04" w:rsidRDefault="002F7E04">
    <w:pPr>
      <w:widowControl w:val="0"/>
      <w:pBdr>
        <w:top w:val="nil"/>
        <w:left w:val="nil"/>
        <w:bottom w:val="nil"/>
        <w:right w:val="nil"/>
        <w:between w:val="nil"/>
      </w:pBdr>
      <w:spacing w:line="276"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14CBD3" w14:textId="77777777" w:rsidR="00AD22DB" w:rsidRDefault="00AD22DB">
      <w:r>
        <w:separator/>
      </w:r>
    </w:p>
  </w:footnote>
  <w:footnote w:type="continuationSeparator" w:id="0">
    <w:p w14:paraId="1BE962BE" w14:textId="77777777" w:rsidR="00AD22DB" w:rsidRDefault="00AD22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D3636A9"/>
    <w:multiLevelType w:val="multilevel"/>
    <w:tmpl w:val="73142A9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7E04"/>
    <w:rsid w:val="00067169"/>
    <w:rsid w:val="00077A04"/>
    <w:rsid w:val="000901A8"/>
    <w:rsid w:val="000B4B4F"/>
    <w:rsid w:val="00214CED"/>
    <w:rsid w:val="002E7834"/>
    <w:rsid w:val="002F7E04"/>
    <w:rsid w:val="00337B2B"/>
    <w:rsid w:val="003B59E0"/>
    <w:rsid w:val="003C4CDC"/>
    <w:rsid w:val="0050771A"/>
    <w:rsid w:val="00577404"/>
    <w:rsid w:val="006432AA"/>
    <w:rsid w:val="00650196"/>
    <w:rsid w:val="00892E69"/>
    <w:rsid w:val="008E4542"/>
    <w:rsid w:val="008F1AB2"/>
    <w:rsid w:val="0090496E"/>
    <w:rsid w:val="009F5E9A"/>
    <w:rsid w:val="00AD22DB"/>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D39AA9"/>
  <w15:docId w15:val="{AD0547C8-C541-974E-9A99-734827481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149B"/>
  </w:style>
  <w:style w:type="paragraph" w:styleId="Heading1">
    <w:name w:val="heading 1"/>
    <w:basedOn w:val="Normal"/>
    <w:next w:val="Normal"/>
    <w:uiPriority w:val="9"/>
    <w:qFormat/>
    <w:pPr>
      <w:keepNext/>
      <w:keepLines/>
      <w:spacing w:after="160" w:line="360" w:lineRule="auto"/>
      <w:jc w:val="both"/>
      <w:outlineLvl w:val="0"/>
    </w:pPr>
    <w:rPr>
      <w:b/>
      <w:sz w:val="20"/>
      <w:szCs w:val="20"/>
      <w:lang w:val="en"/>
    </w:rPr>
  </w:style>
  <w:style w:type="paragraph" w:styleId="Heading2">
    <w:name w:val="heading 2"/>
    <w:basedOn w:val="Normal"/>
    <w:next w:val="Normal"/>
    <w:uiPriority w:val="9"/>
    <w:unhideWhenUsed/>
    <w:qFormat/>
    <w:rsid w:val="00EC3458"/>
    <w:pPr>
      <w:keepNext/>
      <w:keepLines/>
      <w:spacing w:before="360" w:after="120" w:line="276" w:lineRule="auto"/>
      <w:outlineLvl w:val="1"/>
    </w:pPr>
    <w:rPr>
      <w:rFonts w:eastAsia="Arial" w:cs="Arial"/>
      <w:b/>
      <w:sz w:val="20"/>
      <w:szCs w:val="32"/>
      <w:lang w:val="en"/>
    </w:rPr>
  </w:style>
  <w:style w:type="paragraph" w:styleId="Heading3">
    <w:name w:val="heading 3"/>
    <w:basedOn w:val="Normal"/>
    <w:next w:val="Normal"/>
    <w:uiPriority w:val="9"/>
    <w:semiHidden/>
    <w:unhideWhenUsed/>
    <w:qFormat/>
    <w:pPr>
      <w:keepNext/>
      <w:keepLines/>
      <w:spacing w:before="320" w:after="80" w:line="276" w:lineRule="auto"/>
      <w:outlineLvl w:val="2"/>
    </w:pPr>
    <w:rPr>
      <w:rFonts w:ascii="Arial" w:eastAsia="Arial" w:hAnsi="Arial" w:cs="Arial"/>
      <w:color w:val="434343"/>
      <w:sz w:val="28"/>
      <w:szCs w:val="28"/>
      <w:lang w:val="en"/>
    </w:rPr>
  </w:style>
  <w:style w:type="paragraph" w:styleId="Heading4">
    <w:name w:val="heading 4"/>
    <w:basedOn w:val="Normal"/>
    <w:next w:val="Normal"/>
    <w:uiPriority w:val="9"/>
    <w:semiHidden/>
    <w:unhideWhenUsed/>
    <w:qFormat/>
    <w:pPr>
      <w:keepNext/>
      <w:keepLines/>
      <w:spacing w:before="280" w:after="80" w:line="276" w:lineRule="auto"/>
      <w:outlineLvl w:val="3"/>
    </w:pPr>
    <w:rPr>
      <w:rFonts w:ascii="Arial" w:eastAsia="Arial" w:hAnsi="Arial" w:cs="Arial"/>
      <w:color w:val="666666"/>
      <w:lang w:val="en"/>
    </w:rPr>
  </w:style>
  <w:style w:type="paragraph" w:styleId="Heading5">
    <w:name w:val="heading 5"/>
    <w:basedOn w:val="Normal"/>
    <w:next w:val="Normal"/>
    <w:uiPriority w:val="9"/>
    <w:semiHidden/>
    <w:unhideWhenUsed/>
    <w:qFormat/>
    <w:pPr>
      <w:keepNext/>
      <w:keepLines/>
      <w:spacing w:before="240" w:after="80" w:line="276" w:lineRule="auto"/>
      <w:outlineLvl w:val="4"/>
    </w:pPr>
    <w:rPr>
      <w:rFonts w:ascii="Arial" w:eastAsia="Arial" w:hAnsi="Arial" w:cs="Arial"/>
      <w:color w:val="666666"/>
      <w:sz w:val="22"/>
      <w:szCs w:val="22"/>
      <w:lang w:val="en"/>
    </w:rPr>
  </w:style>
  <w:style w:type="paragraph" w:styleId="Heading6">
    <w:name w:val="heading 6"/>
    <w:basedOn w:val="Normal"/>
    <w:next w:val="Normal"/>
    <w:uiPriority w:val="9"/>
    <w:semiHidden/>
    <w:unhideWhenUsed/>
    <w:qFormat/>
    <w:pPr>
      <w:keepNext/>
      <w:keepLines/>
      <w:spacing w:before="240" w:after="80" w:line="276" w:lineRule="auto"/>
      <w:outlineLvl w:val="5"/>
    </w:pPr>
    <w:rPr>
      <w:rFonts w:ascii="Arial" w:eastAsia="Arial" w:hAnsi="Arial" w:cs="Arial"/>
      <w:i/>
      <w:color w:val="666666"/>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line="276" w:lineRule="auto"/>
    </w:pPr>
    <w:rPr>
      <w:rFonts w:ascii="Arial" w:eastAsia="Arial" w:hAnsi="Arial" w:cs="Arial"/>
      <w:sz w:val="52"/>
      <w:szCs w:val="52"/>
      <w:lang w:val="en"/>
    </w:rPr>
  </w:style>
  <w:style w:type="paragraph" w:styleId="Subtitle">
    <w:name w:val="Subtitle"/>
    <w:basedOn w:val="Normal"/>
    <w:next w:val="Normal"/>
    <w:uiPriority w:val="11"/>
    <w:qFormat/>
    <w:pPr>
      <w:keepNext/>
      <w:keepLines/>
      <w:spacing w:after="320" w:line="276" w:lineRule="auto"/>
    </w:pPr>
    <w:rPr>
      <w:rFonts w:ascii="Arial" w:eastAsia="Arial" w:hAnsi="Arial" w:cs="Arial"/>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paragraph" w:styleId="NormalWeb">
    <w:name w:val="Normal (Web)"/>
    <w:basedOn w:val="Normal"/>
    <w:uiPriority w:val="99"/>
    <w:semiHidden/>
    <w:unhideWhenUsed/>
    <w:rsid w:val="00795489"/>
    <w:pPr>
      <w:spacing w:before="100" w:beforeAutospacing="1" w:after="100" w:afterAutospacing="1"/>
    </w:pPr>
  </w:style>
  <w:style w:type="character" w:styleId="CommentReference">
    <w:name w:val="annotation reference"/>
    <w:basedOn w:val="DefaultParagraphFont"/>
    <w:uiPriority w:val="99"/>
    <w:semiHidden/>
    <w:unhideWhenUsed/>
    <w:rsid w:val="00395AF2"/>
    <w:rPr>
      <w:sz w:val="16"/>
      <w:szCs w:val="16"/>
    </w:rPr>
  </w:style>
  <w:style w:type="paragraph" w:styleId="CommentText">
    <w:name w:val="annotation text"/>
    <w:basedOn w:val="Normal"/>
    <w:link w:val="CommentTextChar"/>
    <w:uiPriority w:val="99"/>
    <w:semiHidden/>
    <w:unhideWhenUsed/>
    <w:rsid w:val="00395AF2"/>
    <w:rPr>
      <w:rFonts w:ascii="Arial" w:eastAsia="Arial" w:hAnsi="Arial" w:cs="Arial"/>
      <w:sz w:val="20"/>
      <w:szCs w:val="20"/>
      <w:lang w:val="en"/>
    </w:rPr>
  </w:style>
  <w:style w:type="character" w:customStyle="1" w:styleId="CommentTextChar">
    <w:name w:val="Comment Text Char"/>
    <w:basedOn w:val="DefaultParagraphFont"/>
    <w:link w:val="CommentText"/>
    <w:uiPriority w:val="99"/>
    <w:semiHidden/>
    <w:rsid w:val="00395AF2"/>
    <w:rPr>
      <w:sz w:val="20"/>
      <w:szCs w:val="20"/>
    </w:rPr>
  </w:style>
  <w:style w:type="paragraph" w:styleId="CommentSubject">
    <w:name w:val="annotation subject"/>
    <w:basedOn w:val="CommentText"/>
    <w:next w:val="CommentText"/>
    <w:link w:val="CommentSubjectChar"/>
    <w:uiPriority w:val="99"/>
    <w:semiHidden/>
    <w:unhideWhenUsed/>
    <w:rsid w:val="00395AF2"/>
    <w:rPr>
      <w:b/>
      <w:bCs/>
    </w:rPr>
  </w:style>
  <w:style w:type="character" w:customStyle="1" w:styleId="CommentSubjectChar">
    <w:name w:val="Comment Subject Char"/>
    <w:basedOn w:val="CommentTextChar"/>
    <w:link w:val="CommentSubject"/>
    <w:uiPriority w:val="99"/>
    <w:semiHidden/>
    <w:rsid w:val="00395AF2"/>
    <w:rPr>
      <w:b/>
      <w:bCs/>
      <w:sz w:val="20"/>
      <w:szCs w:val="20"/>
    </w:rPr>
  </w:style>
  <w:style w:type="paragraph" w:styleId="TOC1">
    <w:name w:val="toc 1"/>
    <w:basedOn w:val="Normal"/>
    <w:next w:val="Normal"/>
    <w:autoRedefine/>
    <w:uiPriority w:val="39"/>
    <w:unhideWhenUsed/>
    <w:rsid w:val="00FE3E0E"/>
    <w:pPr>
      <w:spacing w:after="100"/>
    </w:pPr>
  </w:style>
  <w:style w:type="character" w:styleId="Hyperlink">
    <w:name w:val="Hyperlink"/>
    <w:basedOn w:val="DefaultParagraphFont"/>
    <w:uiPriority w:val="99"/>
    <w:unhideWhenUsed/>
    <w:rsid w:val="00FE3E0E"/>
    <w:rPr>
      <w:color w:val="0000FF" w:themeColor="hyperlink"/>
      <w:u w:val="single"/>
    </w:rPr>
  </w:style>
  <w:style w:type="character" w:styleId="UnresolvedMention">
    <w:name w:val="Unresolved Mention"/>
    <w:basedOn w:val="DefaultParagraphFont"/>
    <w:uiPriority w:val="99"/>
    <w:semiHidden/>
    <w:unhideWhenUsed/>
    <w:rsid w:val="0021750C"/>
    <w:rPr>
      <w:color w:val="605E5C"/>
      <w:shd w:val="clear" w:color="auto" w:fill="E1DFDD"/>
    </w:rPr>
  </w:style>
  <w:style w:type="character" w:styleId="FollowedHyperlink">
    <w:name w:val="FollowedHyperlink"/>
    <w:basedOn w:val="DefaultParagraphFont"/>
    <w:uiPriority w:val="99"/>
    <w:semiHidden/>
    <w:unhideWhenUsed/>
    <w:rsid w:val="00046BA1"/>
    <w:rPr>
      <w:color w:val="800080" w:themeColor="followedHyperlink"/>
      <w:u w:val="single"/>
    </w:r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5" w:type="dxa"/>
        <w:left w:w="15" w:type="dxa"/>
        <w:bottom w:w="15" w:type="dxa"/>
        <w:right w:w="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left w:w="0" w:type="dxa"/>
        <w:right w:w="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paragraph" w:styleId="TOC2">
    <w:name w:val="toc 2"/>
    <w:basedOn w:val="Normal"/>
    <w:next w:val="Normal"/>
    <w:autoRedefine/>
    <w:uiPriority w:val="39"/>
    <w:unhideWhenUsed/>
    <w:rsid w:val="00EC3458"/>
    <w:pPr>
      <w:spacing w:after="100"/>
      <w:ind w:left="240"/>
    </w:p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character" w:styleId="Emphasis">
    <w:name w:val="Emphasis"/>
    <w:basedOn w:val="DefaultParagraphFont"/>
    <w:uiPriority w:val="20"/>
    <w:qFormat/>
    <w:rsid w:val="00AF3DF2"/>
    <w:rPr>
      <w:i/>
      <w:iCs/>
    </w:rPr>
  </w:style>
  <w:style w:type="paragraph" w:customStyle="1" w:styleId="inline">
    <w:name w:val="inline"/>
    <w:basedOn w:val="Normal"/>
    <w:rsid w:val="00621229"/>
    <w:pPr>
      <w:spacing w:before="100" w:beforeAutospacing="1" w:after="100" w:afterAutospacing="1"/>
    </w:pPr>
  </w:style>
  <w:style w:type="character" w:customStyle="1" w:styleId="apple-tab-span">
    <w:name w:val="apple-tab-span"/>
    <w:basedOn w:val="DefaultParagraphFont"/>
    <w:rsid w:val="00F144BD"/>
  </w:style>
  <w:style w:type="paragraph" w:customStyle="1" w:styleId="msonormal0">
    <w:name w:val="msonormal"/>
    <w:basedOn w:val="Normal"/>
    <w:rsid w:val="001D65C8"/>
    <w:pPr>
      <w:spacing w:before="100" w:beforeAutospacing="1" w:after="100" w:afterAutospacing="1"/>
    </w:p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left w:w="0" w:type="dxa"/>
        <w:right w:w="0" w:type="dxa"/>
      </w:tblCellMar>
    </w:tblPr>
  </w:style>
  <w:style w:type="table" w:customStyle="1" w:styleId="afa">
    <w:basedOn w:val="TableNormal"/>
    <w:tblPr>
      <w:tblStyleRowBandSize w:val="1"/>
      <w:tblStyleColBandSize w:val="1"/>
      <w:tblCellMar>
        <w:left w:w="0" w:type="dxa"/>
        <w:right w:w="0" w:type="dxa"/>
      </w:tblCellMar>
    </w:tblPr>
  </w:style>
  <w:style w:type="table" w:customStyle="1" w:styleId="afb">
    <w:basedOn w:val="TableNormal"/>
    <w:tblPr>
      <w:tblStyleRowBandSize w:val="1"/>
      <w:tblStyleColBandSize w:val="1"/>
      <w:tblCellMar>
        <w:left w:w="0" w:type="dxa"/>
        <w:right w:w="0" w:type="dxa"/>
      </w:tblCellMar>
    </w:tblPr>
  </w:style>
  <w:style w:type="table" w:customStyle="1" w:styleId="afc">
    <w:basedOn w:val="TableNormal"/>
    <w:tblPr>
      <w:tblStyleRowBandSize w:val="1"/>
      <w:tblStyleColBandSize w:val="1"/>
      <w:tblCellMar>
        <w:top w:w="100" w:type="dxa"/>
        <w:left w:w="100" w:type="dxa"/>
        <w:bottom w:w="100" w:type="dxa"/>
        <w:right w:w="100" w:type="dxa"/>
      </w:tblCellMar>
    </w:tblPr>
  </w:style>
  <w:style w:type="table" w:customStyle="1" w:styleId="afd">
    <w:basedOn w:val="TableNormal"/>
    <w:tblPr>
      <w:tblStyleRowBandSize w:val="1"/>
      <w:tblStyleColBandSize w:val="1"/>
      <w:tblCellMar>
        <w:top w:w="100" w:type="dxa"/>
        <w:left w:w="100" w:type="dxa"/>
        <w:bottom w:w="100" w:type="dxa"/>
        <w:right w:w="100" w:type="dxa"/>
      </w:tblCellMar>
    </w:tblPr>
  </w:style>
  <w:style w:type="table" w:customStyle="1" w:styleId="afe">
    <w:basedOn w:val="TableNormal"/>
    <w:tblPr>
      <w:tblStyleRowBandSize w:val="1"/>
      <w:tblStyleColBandSize w:val="1"/>
      <w:tblCellMar>
        <w:left w:w="0" w:type="dxa"/>
        <w:right w:w="0" w:type="dxa"/>
      </w:tblCellMar>
    </w:tblPr>
  </w:style>
  <w:style w:type="table" w:customStyle="1" w:styleId="aff">
    <w:basedOn w:val="TableNormal"/>
    <w:tblPr>
      <w:tblStyleRowBandSize w:val="1"/>
      <w:tblStyleColBandSize w:val="1"/>
      <w:tblCellMar>
        <w:left w:w="0" w:type="dxa"/>
        <w:right w:w="0" w:type="dxa"/>
      </w:tblCellMar>
    </w:tblPr>
  </w:style>
  <w:style w:type="table" w:customStyle="1" w:styleId="aff0">
    <w:basedOn w:val="TableNormal"/>
    <w:tblPr>
      <w:tblStyleRowBandSize w:val="1"/>
      <w:tblStyleColBandSize w:val="1"/>
      <w:tblCellMar>
        <w:top w:w="100" w:type="dxa"/>
        <w:left w:w="100" w:type="dxa"/>
        <w:bottom w:w="100" w:type="dxa"/>
        <w:right w:w="100" w:type="dxa"/>
      </w:tblCellMar>
    </w:tblPr>
  </w:style>
  <w:style w:type="table" w:customStyle="1" w:styleId="aff1">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D22C52"/>
    <w:pPr>
      <w:tabs>
        <w:tab w:val="center" w:pos="4680"/>
        <w:tab w:val="right" w:pos="9360"/>
      </w:tabs>
    </w:pPr>
  </w:style>
  <w:style w:type="character" w:customStyle="1" w:styleId="HeaderChar">
    <w:name w:val="Header Char"/>
    <w:basedOn w:val="DefaultParagraphFont"/>
    <w:link w:val="Header"/>
    <w:uiPriority w:val="99"/>
    <w:rsid w:val="00D22C52"/>
  </w:style>
  <w:style w:type="paragraph" w:styleId="Footer">
    <w:name w:val="footer"/>
    <w:basedOn w:val="Normal"/>
    <w:link w:val="FooterChar"/>
    <w:uiPriority w:val="99"/>
    <w:unhideWhenUsed/>
    <w:rsid w:val="00D22C52"/>
    <w:pPr>
      <w:tabs>
        <w:tab w:val="center" w:pos="4680"/>
        <w:tab w:val="right" w:pos="9360"/>
      </w:tabs>
    </w:pPr>
  </w:style>
  <w:style w:type="character" w:customStyle="1" w:styleId="FooterChar">
    <w:name w:val="Footer Char"/>
    <w:basedOn w:val="DefaultParagraphFont"/>
    <w:link w:val="Footer"/>
    <w:uiPriority w:val="99"/>
    <w:rsid w:val="00D22C52"/>
  </w:style>
  <w:style w:type="table" w:customStyle="1" w:styleId="aff2">
    <w:basedOn w:val="TableNormal"/>
    <w:tblPr>
      <w:tblStyleRowBandSize w:val="1"/>
      <w:tblStyleColBandSize w:val="1"/>
      <w:tblCellMar>
        <w:top w:w="100" w:type="dxa"/>
        <w:left w:w="100" w:type="dxa"/>
        <w:bottom w:w="100" w:type="dxa"/>
        <w:right w:w="100" w:type="dxa"/>
      </w:tblCellMar>
    </w:tblPr>
  </w:style>
  <w:style w:type="table" w:customStyle="1" w:styleId="aff3">
    <w:basedOn w:val="TableNormal"/>
    <w:tblPr>
      <w:tblStyleRowBandSize w:val="1"/>
      <w:tblStyleColBandSize w:val="1"/>
      <w:tblCellMar>
        <w:top w:w="100" w:type="dxa"/>
        <w:left w:w="100" w:type="dxa"/>
        <w:bottom w:w="100" w:type="dxa"/>
        <w:right w:w="100" w:type="dxa"/>
      </w:tblCellMar>
    </w:tblPr>
  </w:style>
  <w:style w:type="table" w:customStyle="1" w:styleId="aff4">
    <w:basedOn w:val="TableNormal"/>
    <w:tblPr>
      <w:tblStyleRowBandSize w:val="1"/>
      <w:tblStyleColBandSize w:val="1"/>
      <w:tblCellMar>
        <w:top w:w="100" w:type="dxa"/>
        <w:left w:w="100" w:type="dxa"/>
        <w:bottom w:w="100" w:type="dxa"/>
        <w:right w:w="100" w:type="dxa"/>
      </w:tblCellMar>
    </w:tblPr>
  </w:style>
  <w:style w:type="table" w:customStyle="1" w:styleId="aff5">
    <w:basedOn w:val="TableNormal"/>
    <w:tblPr>
      <w:tblStyleRowBandSize w:val="1"/>
      <w:tblStyleColBandSize w:val="1"/>
      <w:tblCellMar>
        <w:top w:w="100" w:type="dxa"/>
        <w:left w:w="100" w:type="dxa"/>
        <w:bottom w:w="100" w:type="dxa"/>
        <w:right w:w="100" w:type="dxa"/>
      </w:tblCellMar>
    </w:tblPr>
  </w:style>
  <w:style w:type="table" w:customStyle="1" w:styleId="aff6">
    <w:basedOn w:val="TableNormal"/>
    <w:tblPr>
      <w:tblStyleRowBandSize w:val="1"/>
      <w:tblStyleColBandSize w:val="1"/>
      <w:tblCellMar>
        <w:top w:w="100" w:type="dxa"/>
        <w:left w:w="100" w:type="dxa"/>
        <w:bottom w:w="100" w:type="dxa"/>
        <w:right w:w="100" w:type="dxa"/>
      </w:tblCellMar>
    </w:tblPr>
  </w:style>
  <w:style w:type="table" w:customStyle="1" w:styleId="aff7">
    <w:basedOn w:val="TableNormal"/>
    <w:tblPr>
      <w:tblStyleRowBandSize w:val="1"/>
      <w:tblStyleColBandSize w:val="1"/>
      <w:tblCellMar>
        <w:top w:w="100" w:type="dxa"/>
        <w:left w:w="100" w:type="dxa"/>
        <w:bottom w:w="100" w:type="dxa"/>
        <w:right w:w="100" w:type="dxa"/>
      </w:tblCellMar>
    </w:tblPr>
  </w:style>
  <w:style w:type="table" w:customStyle="1" w:styleId="aff8">
    <w:basedOn w:val="TableNormal"/>
    <w:tblPr>
      <w:tblStyleRowBandSize w:val="1"/>
      <w:tblStyleColBandSize w:val="1"/>
      <w:tblCellMar>
        <w:top w:w="100" w:type="dxa"/>
        <w:left w:w="100" w:type="dxa"/>
        <w:bottom w:w="100" w:type="dxa"/>
        <w:right w:w="100" w:type="dxa"/>
      </w:tblCellMar>
    </w:tblPr>
  </w:style>
  <w:style w:type="table" w:customStyle="1" w:styleId="aff9">
    <w:basedOn w:val="TableNormal"/>
    <w:tblPr>
      <w:tblStyleRowBandSize w:val="1"/>
      <w:tblStyleColBandSize w:val="1"/>
      <w:tblCellMar>
        <w:left w:w="0" w:type="dxa"/>
        <w:right w:w="0" w:type="dxa"/>
      </w:tblCellMar>
    </w:tblPr>
  </w:style>
  <w:style w:type="table" w:customStyle="1" w:styleId="affa">
    <w:basedOn w:val="TableNormal"/>
    <w:tblPr>
      <w:tblStyleRowBandSize w:val="1"/>
      <w:tblStyleColBandSize w:val="1"/>
      <w:tblCellMar>
        <w:top w:w="100" w:type="dxa"/>
        <w:left w:w="100" w:type="dxa"/>
        <w:bottom w:w="100" w:type="dxa"/>
        <w:right w:w="100" w:type="dxa"/>
      </w:tblCellMar>
    </w:tblPr>
  </w:style>
  <w:style w:type="table" w:customStyle="1" w:styleId="affb">
    <w:basedOn w:val="TableNormal"/>
    <w:tblPr>
      <w:tblStyleRowBandSize w:val="1"/>
      <w:tblStyleColBandSize w:val="1"/>
      <w:tblCellMar>
        <w:top w:w="100" w:type="dxa"/>
        <w:left w:w="100" w:type="dxa"/>
        <w:bottom w:w="100" w:type="dxa"/>
        <w:right w:w="100" w:type="dxa"/>
      </w:tblCellMar>
    </w:tblPr>
  </w:style>
  <w:style w:type="table" w:customStyle="1" w:styleId="affc">
    <w:basedOn w:val="TableNormal"/>
    <w:tblPr>
      <w:tblStyleRowBandSize w:val="1"/>
      <w:tblStyleColBandSize w:val="1"/>
      <w:tblCellMar>
        <w:top w:w="100" w:type="dxa"/>
        <w:left w:w="100" w:type="dxa"/>
        <w:bottom w:w="100" w:type="dxa"/>
        <w:right w:w="100" w:type="dxa"/>
      </w:tblCellMar>
    </w:tblPr>
  </w:style>
  <w:style w:type="table" w:customStyle="1" w:styleId="affd">
    <w:basedOn w:val="TableNormal"/>
    <w:tblPr>
      <w:tblStyleRowBandSize w:val="1"/>
      <w:tblStyleColBandSize w:val="1"/>
      <w:tblCellMar>
        <w:top w:w="100" w:type="dxa"/>
        <w:left w:w="100" w:type="dxa"/>
        <w:bottom w:w="100" w:type="dxa"/>
        <w:right w:w="100" w:type="dxa"/>
      </w:tblCellMar>
    </w:tblPr>
  </w:style>
  <w:style w:type="table" w:customStyle="1" w:styleId="affe">
    <w:basedOn w:val="TableNormal"/>
    <w:tblPr>
      <w:tblStyleRowBandSize w:val="1"/>
      <w:tblStyleColBandSize w:val="1"/>
      <w:tblCellMar>
        <w:top w:w="100" w:type="dxa"/>
        <w:left w:w="100" w:type="dxa"/>
        <w:bottom w:w="100" w:type="dxa"/>
        <w:right w:w="100" w:type="dxa"/>
      </w:tblCellMar>
    </w:tblPr>
  </w:style>
  <w:style w:type="table" w:customStyle="1" w:styleId="afff">
    <w:basedOn w:val="TableNormal"/>
    <w:tblPr>
      <w:tblStyleRowBandSize w:val="1"/>
      <w:tblStyleColBandSize w:val="1"/>
      <w:tblCellMar>
        <w:top w:w="100" w:type="dxa"/>
        <w:left w:w="100" w:type="dxa"/>
        <w:bottom w:w="100" w:type="dxa"/>
        <w:right w:w="100" w:type="dxa"/>
      </w:tblCellMar>
    </w:tblPr>
  </w:style>
  <w:style w:type="table" w:customStyle="1" w:styleId="afff0">
    <w:basedOn w:val="TableNormal"/>
    <w:tblPr>
      <w:tblStyleRowBandSize w:val="1"/>
      <w:tblStyleColBandSize w:val="1"/>
      <w:tblCellMar>
        <w:top w:w="100" w:type="dxa"/>
        <w:left w:w="100" w:type="dxa"/>
        <w:bottom w:w="100" w:type="dxa"/>
        <w:right w:w="100" w:type="dxa"/>
      </w:tblCellMar>
    </w:tblPr>
  </w:style>
  <w:style w:type="table" w:customStyle="1" w:styleId="afff1">
    <w:basedOn w:val="TableNormal"/>
    <w:tblPr>
      <w:tblStyleRowBandSize w:val="1"/>
      <w:tblStyleColBandSize w:val="1"/>
      <w:tblCellMar>
        <w:top w:w="100" w:type="dxa"/>
        <w:left w:w="100" w:type="dxa"/>
        <w:bottom w:w="100" w:type="dxa"/>
        <w:right w:w="100" w:type="dxa"/>
      </w:tblCellMar>
    </w:tblPr>
  </w:style>
  <w:style w:type="table" w:customStyle="1" w:styleId="afff2">
    <w:basedOn w:val="TableNormal"/>
    <w:tblPr>
      <w:tblStyleRowBandSize w:val="1"/>
      <w:tblStyleColBandSize w:val="1"/>
      <w:tblCellMar>
        <w:top w:w="100" w:type="dxa"/>
        <w:left w:w="100" w:type="dxa"/>
        <w:bottom w:w="100" w:type="dxa"/>
        <w:right w:w="100" w:type="dxa"/>
      </w:tblCellMar>
    </w:tblPr>
  </w:style>
  <w:style w:type="table" w:customStyle="1" w:styleId="afff3">
    <w:basedOn w:val="TableNormal"/>
    <w:tblPr>
      <w:tblStyleRowBandSize w:val="1"/>
      <w:tblStyleColBandSize w:val="1"/>
      <w:tblCellMar>
        <w:top w:w="100" w:type="dxa"/>
        <w:left w:w="100" w:type="dxa"/>
        <w:bottom w:w="100" w:type="dxa"/>
        <w:right w:w="100" w:type="dxa"/>
      </w:tblCellMar>
    </w:tblPr>
  </w:style>
  <w:style w:type="table" w:customStyle="1" w:styleId="afff4">
    <w:basedOn w:val="TableNormal"/>
    <w:tblPr>
      <w:tblStyleRowBandSize w:val="1"/>
      <w:tblStyleColBandSize w:val="1"/>
      <w:tblCellMar>
        <w:left w:w="0" w:type="dxa"/>
        <w:right w:w="0" w:type="dxa"/>
      </w:tblCellMar>
    </w:tblPr>
  </w:style>
  <w:style w:type="table" w:customStyle="1" w:styleId="afff5">
    <w:basedOn w:val="TableNormal"/>
    <w:tblPr>
      <w:tblStyleRowBandSize w:val="1"/>
      <w:tblStyleColBandSize w:val="1"/>
      <w:tblCellMar>
        <w:top w:w="100" w:type="dxa"/>
        <w:left w:w="0" w:type="dxa"/>
        <w:bottom w:w="100" w:type="dxa"/>
        <w:right w:w="0" w:type="dxa"/>
      </w:tblCellMar>
    </w:tblPr>
  </w:style>
  <w:style w:type="table" w:customStyle="1" w:styleId="afff6">
    <w:basedOn w:val="TableNormal"/>
    <w:tblPr>
      <w:tblStyleRowBandSize w:val="1"/>
      <w:tblStyleColBandSize w:val="1"/>
      <w:tblCellMar>
        <w:top w:w="100" w:type="dxa"/>
        <w:left w:w="0" w:type="dxa"/>
        <w:bottom w:w="100" w:type="dxa"/>
        <w:right w:w="0" w:type="dxa"/>
      </w:tblCellMar>
    </w:tblPr>
  </w:style>
  <w:style w:type="table" w:customStyle="1" w:styleId="afff7">
    <w:basedOn w:val="TableNormal"/>
    <w:tblPr>
      <w:tblStyleRowBandSize w:val="1"/>
      <w:tblStyleColBandSize w:val="1"/>
      <w:tblCellMar>
        <w:top w:w="100" w:type="dxa"/>
        <w:left w:w="0" w:type="dxa"/>
        <w:bottom w:w="100" w:type="dxa"/>
        <w:right w:w="0" w:type="dxa"/>
      </w:tblCellMar>
    </w:tblPr>
  </w:style>
  <w:style w:type="table" w:customStyle="1" w:styleId="afff8">
    <w:basedOn w:val="TableNormal"/>
    <w:tblPr>
      <w:tblStyleRowBandSize w:val="1"/>
      <w:tblStyleColBandSize w:val="1"/>
      <w:tblCellMar>
        <w:top w:w="100" w:type="dxa"/>
        <w:left w:w="0" w:type="dxa"/>
        <w:bottom w:w="100" w:type="dxa"/>
        <w:right w:w="0" w:type="dxa"/>
      </w:tblCellMar>
    </w:tblPr>
  </w:style>
  <w:style w:type="table" w:customStyle="1" w:styleId="afff9">
    <w:basedOn w:val="TableNormal"/>
    <w:tblPr>
      <w:tblStyleRowBandSize w:val="1"/>
      <w:tblStyleColBandSize w:val="1"/>
      <w:tblCellMar>
        <w:top w:w="100" w:type="dxa"/>
        <w:left w:w="0" w:type="dxa"/>
        <w:bottom w:w="100" w:type="dxa"/>
        <w:right w:w="0" w:type="dxa"/>
      </w:tblCellMar>
    </w:tblPr>
  </w:style>
  <w:style w:type="table" w:customStyle="1" w:styleId="afffa">
    <w:basedOn w:val="TableNormal"/>
    <w:tblPr>
      <w:tblStyleRowBandSize w:val="1"/>
      <w:tblStyleColBandSize w:val="1"/>
      <w:tblCellMar>
        <w:top w:w="100" w:type="dxa"/>
        <w:left w:w="0" w:type="dxa"/>
        <w:bottom w:w="100" w:type="dxa"/>
        <w:right w:w="0" w:type="dxa"/>
      </w:tblCellMar>
    </w:tblPr>
  </w:style>
  <w:style w:type="table" w:customStyle="1" w:styleId="afffb">
    <w:basedOn w:val="TableNormal"/>
    <w:tblPr>
      <w:tblStyleRowBandSize w:val="1"/>
      <w:tblStyleColBandSize w:val="1"/>
      <w:tblCellMar>
        <w:left w:w="115" w:type="dxa"/>
        <w:right w:w="115" w:type="dxa"/>
      </w:tblCellMar>
    </w:tblPr>
  </w:style>
  <w:style w:type="table" w:customStyle="1" w:styleId="afffc">
    <w:basedOn w:val="TableNormal"/>
    <w:tblPr>
      <w:tblStyleRowBandSize w:val="1"/>
      <w:tblStyleColBandSize w:val="1"/>
      <w:tblCellMar>
        <w:top w:w="100" w:type="dxa"/>
        <w:left w:w="0" w:type="dxa"/>
        <w:bottom w:w="100" w:type="dxa"/>
        <w:right w:w="0" w:type="dxa"/>
      </w:tblCellMar>
    </w:tblPr>
  </w:style>
  <w:style w:type="table" w:customStyle="1" w:styleId="afffd">
    <w:basedOn w:val="TableNormal"/>
    <w:tblPr>
      <w:tblStyleRowBandSize w:val="1"/>
      <w:tblStyleColBandSize w:val="1"/>
      <w:tblCellMar>
        <w:top w:w="100" w:type="dxa"/>
        <w:left w:w="0" w:type="dxa"/>
        <w:bottom w:w="100" w:type="dxa"/>
        <w:right w:w="0" w:type="dxa"/>
      </w:tblCellMar>
    </w:tblPr>
  </w:style>
  <w:style w:type="table" w:customStyle="1" w:styleId="afffe">
    <w:basedOn w:val="TableNormal"/>
    <w:tblPr>
      <w:tblStyleRowBandSize w:val="1"/>
      <w:tblStyleColBandSize w:val="1"/>
      <w:tblCellMar>
        <w:top w:w="100" w:type="dxa"/>
        <w:left w:w="0" w:type="dxa"/>
        <w:bottom w:w="100" w:type="dxa"/>
        <w:right w:w="0" w:type="dxa"/>
      </w:tblCellMar>
    </w:tblPr>
  </w:style>
  <w:style w:type="table" w:customStyle="1" w:styleId="affff">
    <w:basedOn w:val="TableNormal"/>
    <w:tblPr>
      <w:tblStyleRowBandSize w:val="1"/>
      <w:tblStyleColBandSize w:val="1"/>
      <w:tblCellMar>
        <w:top w:w="100" w:type="dxa"/>
        <w:left w:w="0" w:type="dxa"/>
        <w:bottom w:w="10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63777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QuPHT2nnZktDC9AuKyZohLobQEw==">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888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Kovacs, Zsofia </cp:lastModifiedBy>
  <cp:revision>5</cp:revision>
  <dcterms:created xsi:type="dcterms:W3CDTF">2022-01-24T15:46:00Z</dcterms:created>
  <dcterms:modified xsi:type="dcterms:W3CDTF">2022-02-09T13:23:00Z</dcterms:modified>
</cp:coreProperties>
</file>