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7D" w:rsidRPr="000E70B1" w:rsidRDefault="00590B5D" w:rsidP="00F3737D">
      <w:pPr>
        <w:pStyle w:val="a3"/>
        <w:tabs>
          <w:tab w:val="left" w:pos="2048"/>
        </w:tabs>
        <w:spacing w:before="79" w:line="480" w:lineRule="auto"/>
        <w:ind w:left="113"/>
        <w:jc w:val="both"/>
      </w:pPr>
      <w:r>
        <w:t>S1 Table</w:t>
      </w:r>
      <w:bookmarkStart w:id="0" w:name="_GoBack"/>
      <w:bookmarkEnd w:id="0"/>
      <w:r w:rsidR="00F3737D" w:rsidRPr="000E70B1">
        <w:t>: Data collection and structural refinement statistics</w:t>
      </w:r>
    </w:p>
    <w:tbl>
      <w:tblPr>
        <w:tblW w:w="87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5933"/>
      </w:tblGrid>
      <w:tr w:rsidR="00F3737D" w:rsidRPr="000E70B1" w:rsidTr="00A66540">
        <w:trPr>
          <w:trHeight w:val="440"/>
          <w:jc w:val="center"/>
        </w:trPr>
        <w:tc>
          <w:tcPr>
            <w:tcW w:w="2822" w:type="dxa"/>
            <w:tcBorders>
              <w:top w:val="single" w:sz="4" w:space="0" w:color="000000"/>
            </w:tcBorders>
          </w:tcPr>
          <w:p w:rsidR="00F3737D" w:rsidRPr="000E70B1" w:rsidRDefault="00F3737D" w:rsidP="00A66540">
            <w:pPr>
              <w:pStyle w:val="TableParagraph"/>
              <w:spacing w:before="102"/>
              <w:rPr>
                <w:i/>
                <w:sz w:val="24"/>
              </w:rPr>
            </w:pPr>
            <w:r w:rsidRPr="000E70B1">
              <w:rPr>
                <w:i/>
                <w:sz w:val="24"/>
              </w:rPr>
              <w:t>A. Diffraction data</w:t>
            </w:r>
          </w:p>
        </w:tc>
        <w:tc>
          <w:tcPr>
            <w:tcW w:w="5933" w:type="dxa"/>
            <w:tcBorders>
              <w:top w:val="single" w:sz="4" w:space="0" w:color="000000"/>
            </w:tcBorders>
          </w:tcPr>
          <w:p w:rsidR="00F3737D" w:rsidRPr="000E70B1" w:rsidRDefault="00F3737D" w:rsidP="00A66540">
            <w:pPr>
              <w:pStyle w:val="TableParagraph"/>
              <w:spacing w:before="102"/>
              <w:ind w:left="666" w:right="1072"/>
              <w:jc w:val="center"/>
              <w:rPr>
                <w:sz w:val="24"/>
              </w:rPr>
            </w:pPr>
            <w:r w:rsidRPr="000E70B1">
              <w:rPr>
                <w:sz w:val="24"/>
              </w:rPr>
              <w:t>KIF13B MD-NC-CC1-T192Y</w:t>
            </w:r>
          </w:p>
        </w:tc>
      </w:tr>
      <w:tr w:rsidR="00F3737D" w:rsidRPr="000E70B1" w:rsidTr="00A66540">
        <w:trPr>
          <w:trHeight w:val="40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spacing w:before="65"/>
              <w:rPr>
                <w:sz w:val="24"/>
              </w:rPr>
            </w:pPr>
            <w:r w:rsidRPr="000E70B1">
              <w:rPr>
                <w:sz w:val="24"/>
              </w:rPr>
              <w:t>Space group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spacing w:before="65"/>
              <w:ind w:left="666" w:right="1067"/>
              <w:jc w:val="center"/>
              <w:rPr>
                <w:i/>
                <w:sz w:val="24"/>
              </w:rPr>
            </w:pPr>
            <w:r w:rsidRPr="000E70B1">
              <w:rPr>
                <w:i/>
                <w:position w:val="2"/>
                <w:sz w:val="24"/>
              </w:rPr>
              <w:t>P3</w:t>
            </w:r>
            <w:r w:rsidRPr="000E70B1">
              <w:rPr>
                <w:i/>
                <w:sz w:val="16"/>
              </w:rPr>
              <w:t>2</w:t>
            </w:r>
            <w:r w:rsidRPr="000E70B1">
              <w:rPr>
                <w:i/>
                <w:position w:val="2"/>
                <w:sz w:val="24"/>
              </w:rPr>
              <w:t>21</w:t>
            </w:r>
          </w:p>
        </w:tc>
      </w:tr>
      <w:tr w:rsidR="00F3737D" w:rsidRPr="000E70B1" w:rsidTr="00A66540">
        <w:trPr>
          <w:trHeight w:val="40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spacing w:before="55"/>
              <w:rPr>
                <w:sz w:val="24"/>
              </w:rPr>
            </w:pPr>
            <w:r w:rsidRPr="000E70B1">
              <w:rPr>
                <w:sz w:val="24"/>
              </w:rPr>
              <w:t>Wavelength (Å)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spacing w:before="55"/>
              <w:ind w:left="666" w:right="1067"/>
              <w:jc w:val="center"/>
              <w:rPr>
                <w:sz w:val="24"/>
              </w:rPr>
            </w:pPr>
            <w:r w:rsidRPr="000E70B1">
              <w:rPr>
                <w:sz w:val="24"/>
              </w:rPr>
              <w:t>0.9792</w:t>
            </w:r>
          </w:p>
        </w:tc>
      </w:tr>
      <w:tr w:rsidR="00F3737D" w:rsidRPr="000E70B1" w:rsidTr="00A66540">
        <w:trPr>
          <w:trHeight w:val="40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spacing w:before="58"/>
              <w:rPr>
                <w:sz w:val="24"/>
              </w:rPr>
            </w:pPr>
            <w:r w:rsidRPr="000E70B1">
              <w:rPr>
                <w:sz w:val="24"/>
              </w:rPr>
              <w:t>Cell dimensions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spacing w:before="0"/>
              <w:ind w:left="0"/>
            </w:pPr>
          </w:p>
        </w:tc>
      </w:tr>
      <w:tr w:rsidR="00F3737D" w:rsidRPr="000E70B1" w:rsidTr="00A66540">
        <w:trPr>
          <w:trHeight w:val="38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ind w:left="360"/>
              <w:rPr>
                <w:sz w:val="24"/>
              </w:rPr>
            </w:pPr>
            <w:r w:rsidRPr="000E70B1">
              <w:rPr>
                <w:sz w:val="24"/>
              </w:rPr>
              <w:t>a, b, c (Å)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ind w:left="666" w:right="1062"/>
              <w:jc w:val="center"/>
              <w:rPr>
                <w:sz w:val="24"/>
              </w:rPr>
            </w:pPr>
            <w:r w:rsidRPr="000E70B1">
              <w:rPr>
                <w:sz w:val="24"/>
              </w:rPr>
              <w:t>87.5, 87.5, 97.5</w:t>
            </w:r>
          </w:p>
        </w:tc>
      </w:tr>
      <w:tr w:rsidR="00F3737D" w:rsidRPr="000E70B1" w:rsidTr="00A66540">
        <w:trPr>
          <w:trHeight w:val="38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ind w:left="360"/>
              <w:rPr>
                <w:sz w:val="24"/>
              </w:rPr>
            </w:pPr>
            <w:r w:rsidRPr="000E70B1">
              <w:rPr>
                <w:sz w:val="24"/>
              </w:rPr>
              <w:t>α, β, γ (º)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ind w:left="666" w:right="1067"/>
              <w:jc w:val="center"/>
              <w:rPr>
                <w:sz w:val="24"/>
              </w:rPr>
            </w:pPr>
            <w:r w:rsidRPr="000E70B1">
              <w:rPr>
                <w:sz w:val="24"/>
              </w:rPr>
              <w:t>90, 90, 120</w:t>
            </w:r>
          </w:p>
        </w:tc>
      </w:tr>
      <w:tr w:rsidR="00F3737D" w:rsidRPr="000E70B1" w:rsidTr="00A66540">
        <w:trPr>
          <w:trHeight w:val="40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spacing w:before="67"/>
              <w:rPr>
                <w:sz w:val="24"/>
              </w:rPr>
            </w:pPr>
            <w:r w:rsidRPr="000E70B1">
              <w:rPr>
                <w:sz w:val="24"/>
              </w:rPr>
              <w:t>Resolution (Å)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spacing w:before="52"/>
              <w:ind w:left="666" w:right="1068"/>
              <w:jc w:val="center"/>
              <w:rPr>
                <w:sz w:val="16"/>
              </w:rPr>
            </w:pPr>
            <w:r w:rsidRPr="000E70B1">
              <w:rPr>
                <w:sz w:val="24"/>
              </w:rPr>
              <w:t>32.6-2.30(2.34-2.30)</w:t>
            </w:r>
            <w:r w:rsidRPr="000E70B1">
              <w:rPr>
                <w:position w:val="9"/>
                <w:sz w:val="16"/>
              </w:rPr>
              <w:t>a</w:t>
            </w:r>
          </w:p>
        </w:tc>
      </w:tr>
      <w:tr w:rsidR="00F3737D" w:rsidRPr="000E70B1" w:rsidTr="00A66540">
        <w:trPr>
          <w:trHeight w:val="38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rPr>
                <w:sz w:val="24"/>
              </w:rPr>
            </w:pPr>
            <w:r w:rsidRPr="000E70B1">
              <w:rPr>
                <w:sz w:val="24"/>
              </w:rPr>
              <w:t>Unique reflections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ind w:left="666" w:right="1068"/>
              <w:jc w:val="center"/>
              <w:rPr>
                <w:sz w:val="24"/>
              </w:rPr>
            </w:pPr>
            <w:r w:rsidRPr="000E70B1">
              <w:rPr>
                <w:sz w:val="24"/>
              </w:rPr>
              <w:t>19638(961)</w:t>
            </w:r>
          </w:p>
        </w:tc>
      </w:tr>
      <w:tr w:rsidR="00F3737D" w:rsidRPr="000E70B1" w:rsidTr="00A66540">
        <w:trPr>
          <w:trHeight w:val="40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rPr>
                <w:sz w:val="24"/>
              </w:rPr>
            </w:pPr>
            <w:r w:rsidRPr="000E70B1">
              <w:rPr>
                <w:sz w:val="24"/>
              </w:rPr>
              <w:t>I/σ(I)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ind w:left="666" w:right="1068"/>
              <w:jc w:val="center"/>
              <w:rPr>
                <w:sz w:val="24"/>
              </w:rPr>
            </w:pPr>
            <w:r w:rsidRPr="000E70B1">
              <w:rPr>
                <w:sz w:val="24"/>
              </w:rPr>
              <w:t>10.4(2.1)</w:t>
            </w:r>
          </w:p>
        </w:tc>
      </w:tr>
      <w:tr w:rsidR="00F3737D" w:rsidRPr="000E70B1" w:rsidTr="00A66540">
        <w:trPr>
          <w:trHeight w:val="40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spacing w:before="58"/>
              <w:rPr>
                <w:sz w:val="24"/>
              </w:rPr>
            </w:pPr>
            <w:r w:rsidRPr="000E70B1">
              <w:rPr>
                <w:sz w:val="24"/>
              </w:rPr>
              <w:t>Multiplicity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spacing w:before="58"/>
              <w:ind w:left="666" w:right="1068"/>
              <w:jc w:val="center"/>
              <w:rPr>
                <w:sz w:val="24"/>
              </w:rPr>
            </w:pPr>
            <w:r w:rsidRPr="000E70B1">
              <w:rPr>
                <w:sz w:val="24"/>
              </w:rPr>
              <w:t>10.8(9.7)</w:t>
            </w:r>
          </w:p>
        </w:tc>
      </w:tr>
      <w:tr w:rsidR="00F3737D" w:rsidRPr="000E70B1" w:rsidTr="00A66540">
        <w:trPr>
          <w:trHeight w:val="320"/>
          <w:jc w:val="center"/>
        </w:trPr>
        <w:tc>
          <w:tcPr>
            <w:tcW w:w="2822" w:type="dxa"/>
            <w:tcBorders>
              <w:bottom w:val="single" w:sz="4" w:space="0" w:color="000000"/>
            </w:tcBorders>
          </w:tcPr>
          <w:p w:rsidR="00F3737D" w:rsidRPr="000E70B1" w:rsidRDefault="00F3737D" w:rsidP="00A66540">
            <w:pPr>
              <w:pStyle w:val="TableParagraph"/>
              <w:spacing w:line="261" w:lineRule="exact"/>
              <w:rPr>
                <w:sz w:val="24"/>
              </w:rPr>
            </w:pPr>
            <w:r w:rsidRPr="000E70B1">
              <w:rPr>
                <w:sz w:val="24"/>
              </w:rPr>
              <w:t>Completeness (%)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F3737D" w:rsidRPr="000E70B1" w:rsidRDefault="00F3737D" w:rsidP="00A66540">
            <w:pPr>
              <w:pStyle w:val="TableParagraph"/>
              <w:spacing w:line="261" w:lineRule="exact"/>
              <w:ind w:left="666" w:right="1068"/>
              <w:jc w:val="center"/>
              <w:rPr>
                <w:sz w:val="24"/>
              </w:rPr>
            </w:pPr>
            <w:r w:rsidRPr="000E70B1">
              <w:rPr>
                <w:sz w:val="24"/>
              </w:rPr>
              <w:t>100(100)</w:t>
            </w:r>
          </w:p>
        </w:tc>
      </w:tr>
      <w:tr w:rsidR="00F3737D" w:rsidRPr="000E70B1" w:rsidTr="00A66540">
        <w:trPr>
          <w:trHeight w:val="440"/>
          <w:jc w:val="center"/>
        </w:trPr>
        <w:tc>
          <w:tcPr>
            <w:tcW w:w="2822" w:type="dxa"/>
            <w:tcBorders>
              <w:top w:val="single" w:sz="4" w:space="0" w:color="000000"/>
            </w:tcBorders>
          </w:tcPr>
          <w:p w:rsidR="00F3737D" w:rsidRPr="000E70B1" w:rsidRDefault="00F3737D" w:rsidP="00A66540">
            <w:pPr>
              <w:pStyle w:val="TableParagraph"/>
              <w:spacing w:before="116"/>
              <w:rPr>
                <w:i/>
                <w:sz w:val="24"/>
              </w:rPr>
            </w:pPr>
            <w:r w:rsidRPr="000E70B1">
              <w:rPr>
                <w:i/>
                <w:sz w:val="24"/>
              </w:rPr>
              <w:t>B. Refinement</w:t>
            </w:r>
          </w:p>
        </w:tc>
        <w:tc>
          <w:tcPr>
            <w:tcW w:w="5933" w:type="dxa"/>
            <w:tcBorders>
              <w:top w:val="single" w:sz="4" w:space="0" w:color="000000"/>
            </w:tcBorders>
          </w:tcPr>
          <w:p w:rsidR="00F3737D" w:rsidRPr="000E70B1" w:rsidRDefault="00F3737D" w:rsidP="00A66540">
            <w:pPr>
              <w:pStyle w:val="TableParagraph"/>
              <w:spacing w:before="0"/>
              <w:ind w:left="0"/>
            </w:pPr>
          </w:p>
        </w:tc>
      </w:tr>
      <w:tr w:rsidR="00F3737D" w:rsidRPr="000E70B1" w:rsidTr="00A66540">
        <w:trPr>
          <w:trHeight w:val="40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spacing w:before="52"/>
              <w:rPr>
                <w:sz w:val="24"/>
              </w:rPr>
            </w:pPr>
            <w:r w:rsidRPr="000E70B1">
              <w:rPr>
                <w:sz w:val="24"/>
              </w:rPr>
              <w:t>Rwork</w:t>
            </w:r>
            <w:r w:rsidRPr="000E70B1">
              <w:rPr>
                <w:position w:val="9"/>
                <w:sz w:val="16"/>
              </w:rPr>
              <w:t xml:space="preserve">b </w:t>
            </w:r>
            <w:r w:rsidRPr="000E70B1">
              <w:rPr>
                <w:sz w:val="24"/>
              </w:rPr>
              <w:t>(%)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spacing w:before="67"/>
              <w:ind w:left="666" w:right="1064"/>
              <w:jc w:val="center"/>
              <w:rPr>
                <w:sz w:val="24"/>
              </w:rPr>
            </w:pPr>
            <w:r w:rsidRPr="000E70B1">
              <w:rPr>
                <w:sz w:val="24"/>
              </w:rPr>
              <w:t>18.2(22.9)</w:t>
            </w:r>
          </w:p>
        </w:tc>
      </w:tr>
      <w:tr w:rsidR="00F3737D" w:rsidRPr="000E70B1" w:rsidTr="00A66540">
        <w:trPr>
          <w:trHeight w:val="38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spacing w:before="50"/>
              <w:rPr>
                <w:sz w:val="24"/>
              </w:rPr>
            </w:pPr>
            <w:r w:rsidRPr="000E70B1">
              <w:rPr>
                <w:sz w:val="24"/>
              </w:rPr>
              <w:t>Rfree</w:t>
            </w:r>
            <w:r w:rsidRPr="000E70B1">
              <w:rPr>
                <w:position w:val="9"/>
                <w:sz w:val="16"/>
              </w:rPr>
              <w:t xml:space="preserve">c </w:t>
            </w:r>
            <w:r w:rsidRPr="000E70B1">
              <w:rPr>
                <w:sz w:val="24"/>
              </w:rPr>
              <w:t>(%)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spacing w:before="65"/>
              <w:ind w:left="666" w:right="1064"/>
              <w:jc w:val="center"/>
              <w:rPr>
                <w:sz w:val="24"/>
              </w:rPr>
            </w:pPr>
            <w:r w:rsidRPr="000E70B1">
              <w:rPr>
                <w:sz w:val="24"/>
              </w:rPr>
              <w:t>24.1(27.2)</w:t>
            </w:r>
          </w:p>
        </w:tc>
      </w:tr>
      <w:tr w:rsidR="00F3737D" w:rsidRPr="000E70B1" w:rsidTr="00A66540">
        <w:trPr>
          <w:trHeight w:val="40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spacing w:before="50"/>
              <w:rPr>
                <w:sz w:val="24"/>
              </w:rPr>
            </w:pPr>
            <w:r w:rsidRPr="000E70B1">
              <w:rPr>
                <w:sz w:val="24"/>
              </w:rPr>
              <w:t>Mean B factors (Å</w:t>
            </w:r>
            <w:r w:rsidRPr="000E70B1">
              <w:rPr>
                <w:position w:val="9"/>
                <w:sz w:val="16"/>
              </w:rPr>
              <w:t>2</w:t>
            </w:r>
            <w:r w:rsidRPr="000E70B1">
              <w:rPr>
                <w:sz w:val="24"/>
              </w:rPr>
              <w:t>)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spacing w:before="65"/>
              <w:ind w:left="666" w:right="1067"/>
              <w:jc w:val="center"/>
              <w:rPr>
                <w:sz w:val="24"/>
              </w:rPr>
            </w:pPr>
            <w:r w:rsidRPr="000E70B1">
              <w:rPr>
                <w:sz w:val="24"/>
              </w:rPr>
              <w:t>51.1</w:t>
            </w:r>
          </w:p>
        </w:tc>
      </w:tr>
      <w:tr w:rsidR="00F3737D" w:rsidRPr="000E70B1" w:rsidTr="00A66540">
        <w:trPr>
          <w:trHeight w:val="40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spacing w:before="52"/>
              <w:rPr>
                <w:sz w:val="16"/>
              </w:rPr>
            </w:pPr>
            <w:r w:rsidRPr="000E70B1">
              <w:rPr>
                <w:sz w:val="24"/>
              </w:rPr>
              <w:t>R.m.s. deviation</w:t>
            </w:r>
            <w:r w:rsidRPr="000E70B1">
              <w:rPr>
                <w:position w:val="9"/>
                <w:sz w:val="16"/>
              </w:rPr>
              <w:t>d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spacing w:before="0"/>
              <w:ind w:left="0"/>
            </w:pPr>
          </w:p>
        </w:tc>
      </w:tr>
      <w:tr w:rsidR="00F3737D" w:rsidRPr="000E70B1" w:rsidTr="00A66540">
        <w:trPr>
          <w:trHeight w:val="38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ind w:left="360"/>
              <w:rPr>
                <w:sz w:val="24"/>
              </w:rPr>
            </w:pPr>
            <w:r w:rsidRPr="000E70B1">
              <w:rPr>
                <w:sz w:val="24"/>
              </w:rPr>
              <w:t>Bond length (Å)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ind w:left="666" w:right="1062"/>
              <w:jc w:val="center"/>
              <w:rPr>
                <w:sz w:val="24"/>
              </w:rPr>
            </w:pPr>
            <w:r w:rsidRPr="000E70B1">
              <w:rPr>
                <w:sz w:val="24"/>
              </w:rPr>
              <w:t>0.008</w:t>
            </w:r>
          </w:p>
        </w:tc>
      </w:tr>
      <w:tr w:rsidR="00F3737D" w:rsidRPr="000E70B1" w:rsidTr="00A66540">
        <w:trPr>
          <w:trHeight w:val="40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ind w:left="360"/>
              <w:rPr>
                <w:sz w:val="24"/>
              </w:rPr>
            </w:pPr>
            <w:r w:rsidRPr="000E70B1">
              <w:rPr>
                <w:sz w:val="24"/>
              </w:rPr>
              <w:t>Bond angles (º)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ind w:left="666" w:right="1062"/>
              <w:jc w:val="center"/>
              <w:rPr>
                <w:sz w:val="24"/>
              </w:rPr>
            </w:pPr>
            <w:r w:rsidRPr="000E70B1">
              <w:rPr>
                <w:sz w:val="24"/>
              </w:rPr>
              <w:t>0.998</w:t>
            </w:r>
          </w:p>
        </w:tc>
      </w:tr>
      <w:tr w:rsidR="00F3737D" w:rsidRPr="000E70B1" w:rsidTr="00A66540">
        <w:trPr>
          <w:trHeight w:val="40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spacing w:before="58"/>
              <w:rPr>
                <w:sz w:val="24"/>
              </w:rPr>
            </w:pPr>
            <w:r w:rsidRPr="000E70B1">
              <w:rPr>
                <w:sz w:val="24"/>
              </w:rPr>
              <w:t>Ramachandran plot(%)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spacing w:before="0"/>
              <w:ind w:left="0"/>
            </w:pPr>
          </w:p>
        </w:tc>
      </w:tr>
      <w:tr w:rsidR="00F3737D" w:rsidRPr="000E70B1" w:rsidTr="00A66540">
        <w:trPr>
          <w:trHeight w:val="38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ind w:left="360"/>
              <w:rPr>
                <w:sz w:val="24"/>
              </w:rPr>
            </w:pPr>
            <w:r w:rsidRPr="000E70B1">
              <w:rPr>
                <w:sz w:val="24"/>
              </w:rPr>
              <w:t>Favored region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ind w:left="666" w:right="1067"/>
              <w:jc w:val="center"/>
              <w:rPr>
                <w:sz w:val="24"/>
              </w:rPr>
            </w:pPr>
            <w:r w:rsidRPr="000E70B1">
              <w:rPr>
                <w:sz w:val="24"/>
              </w:rPr>
              <w:t>96.4</w:t>
            </w:r>
          </w:p>
        </w:tc>
      </w:tr>
      <w:tr w:rsidR="00F3737D" w:rsidRPr="000E70B1" w:rsidTr="00A66540">
        <w:trPr>
          <w:trHeight w:val="400"/>
          <w:jc w:val="center"/>
        </w:trPr>
        <w:tc>
          <w:tcPr>
            <w:tcW w:w="2822" w:type="dxa"/>
          </w:tcPr>
          <w:p w:rsidR="00F3737D" w:rsidRPr="000E70B1" w:rsidRDefault="00F3737D" w:rsidP="00A66540">
            <w:pPr>
              <w:pStyle w:val="TableParagraph"/>
              <w:ind w:left="360"/>
              <w:rPr>
                <w:sz w:val="24"/>
              </w:rPr>
            </w:pPr>
            <w:r w:rsidRPr="000E70B1">
              <w:rPr>
                <w:sz w:val="24"/>
              </w:rPr>
              <w:t>Allowed region</w:t>
            </w:r>
          </w:p>
        </w:tc>
        <w:tc>
          <w:tcPr>
            <w:tcW w:w="5933" w:type="dxa"/>
          </w:tcPr>
          <w:p w:rsidR="00F3737D" w:rsidRPr="000E70B1" w:rsidRDefault="00F3737D" w:rsidP="00A66540">
            <w:pPr>
              <w:pStyle w:val="TableParagraph"/>
              <w:ind w:left="666" w:right="1062"/>
              <w:jc w:val="center"/>
              <w:rPr>
                <w:sz w:val="24"/>
              </w:rPr>
            </w:pPr>
            <w:r w:rsidRPr="000E70B1">
              <w:rPr>
                <w:sz w:val="24"/>
              </w:rPr>
              <w:t>3.6</w:t>
            </w:r>
          </w:p>
        </w:tc>
      </w:tr>
      <w:tr w:rsidR="00F3737D" w:rsidRPr="000E70B1" w:rsidTr="00A66540">
        <w:trPr>
          <w:trHeight w:val="320"/>
          <w:jc w:val="center"/>
        </w:trPr>
        <w:tc>
          <w:tcPr>
            <w:tcW w:w="2822" w:type="dxa"/>
            <w:tcBorders>
              <w:bottom w:val="single" w:sz="4" w:space="0" w:color="000000"/>
            </w:tcBorders>
          </w:tcPr>
          <w:p w:rsidR="00F3737D" w:rsidRPr="000E70B1" w:rsidRDefault="00F3737D" w:rsidP="00A66540">
            <w:pPr>
              <w:pStyle w:val="TableParagraph"/>
              <w:spacing w:before="58" w:line="261" w:lineRule="exact"/>
              <w:ind w:left="360"/>
              <w:rPr>
                <w:sz w:val="24"/>
              </w:rPr>
            </w:pPr>
            <w:r w:rsidRPr="000E70B1">
              <w:rPr>
                <w:sz w:val="24"/>
              </w:rPr>
              <w:t>Disallowed region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F3737D" w:rsidRPr="000E70B1" w:rsidRDefault="00F3737D" w:rsidP="00A66540">
            <w:pPr>
              <w:pStyle w:val="TableParagraph"/>
              <w:spacing w:before="58" w:line="261" w:lineRule="exact"/>
              <w:ind w:left="666" w:right="1062"/>
              <w:jc w:val="center"/>
              <w:rPr>
                <w:sz w:val="24"/>
              </w:rPr>
            </w:pPr>
            <w:r w:rsidRPr="000E70B1">
              <w:rPr>
                <w:sz w:val="24"/>
              </w:rPr>
              <w:t>0.0</w:t>
            </w:r>
          </w:p>
        </w:tc>
      </w:tr>
      <w:tr w:rsidR="00F3737D" w:rsidRPr="000E70B1" w:rsidTr="00A66540">
        <w:trPr>
          <w:trHeight w:val="340"/>
          <w:jc w:val="center"/>
        </w:trPr>
        <w:tc>
          <w:tcPr>
            <w:tcW w:w="8755" w:type="dxa"/>
            <w:gridSpan w:val="2"/>
          </w:tcPr>
          <w:p w:rsidR="00F3737D" w:rsidRPr="000E70B1" w:rsidRDefault="00F3737D" w:rsidP="00A66540">
            <w:pPr>
              <w:pStyle w:val="TableParagraph"/>
              <w:spacing w:before="10"/>
              <w:rPr>
                <w:sz w:val="24"/>
              </w:rPr>
            </w:pPr>
            <w:r w:rsidRPr="000E70B1">
              <w:rPr>
                <w:position w:val="9"/>
                <w:sz w:val="16"/>
              </w:rPr>
              <w:t>a</w:t>
            </w:r>
            <w:r w:rsidRPr="000E70B1">
              <w:rPr>
                <w:sz w:val="24"/>
              </w:rPr>
              <w:t>The values in parentheses refer to the highest resolution shell.</w:t>
            </w:r>
          </w:p>
        </w:tc>
      </w:tr>
      <w:tr w:rsidR="00F3737D" w:rsidRPr="000E70B1" w:rsidTr="00A66540">
        <w:trPr>
          <w:trHeight w:val="780"/>
          <w:jc w:val="center"/>
        </w:trPr>
        <w:tc>
          <w:tcPr>
            <w:tcW w:w="8755" w:type="dxa"/>
            <w:gridSpan w:val="2"/>
          </w:tcPr>
          <w:p w:rsidR="00F3737D" w:rsidRPr="000E70B1" w:rsidRDefault="00F3737D" w:rsidP="00A66540">
            <w:pPr>
              <w:pStyle w:val="TableParagraph"/>
              <w:spacing w:before="0" w:line="380" w:lineRule="exact"/>
              <w:ind w:right="125"/>
              <w:rPr>
                <w:sz w:val="24"/>
              </w:rPr>
            </w:pPr>
            <w:r w:rsidRPr="000E70B1">
              <w:rPr>
                <w:position w:val="11"/>
                <w:sz w:val="16"/>
              </w:rPr>
              <w:t>b</w:t>
            </w:r>
            <w:r w:rsidRPr="000E70B1">
              <w:rPr>
                <w:i/>
                <w:position w:val="2"/>
                <w:sz w:val="24"/>
              </w:rPr>
              <w:t>R</w:t>
            </w:r>
            <w:r w:rsidRPr="000E70B1">
              <w:rPr>
                <w:i/>
                <w:sz w:val="16"/>
              </w:rPr>
              <w:t xml:space="preserve">work </w:t>
            </w:r>
            <w:r w:rsidRPr="000E70B1">
              <w:rPr>
                <w:position w:val="2"/>
                <w:sz w:val="24"/>
              </w:rPr>
              <w:t xml:space="preserve">is the </w:t>
            </w:r>
            <w:r w:rsidRPr="000E70B1">
              <w:rPr>
                <w:i/>
                <w:position w:val="2"/>
                <w:sz w:val="24"/>
              </w:rPr>
              <w:t>R</w:t>
            </w:r>
            <w:r w:rsidRPr="000E70B1">
              <w:rPr>
                <w:i/>
                <w:sz w:val="16"/>
              </w:rPr>
              <w:t>factor</w:t>
            </w:r>
            <w:r w:rsidRPr="000E70B1">
              <w:rPr>
                <w:position w:val="2"/>
                <w:sz w:val="24"/>
              </w:rPr>
              <w:t xml:space="preserve">for the working dataset. </w:t>
            </w:r>
            <w:r w:rsidRPr="000E70B1">
              <w:rPr>
                <w:i/>
                <w:position w:val="2"/>
                <w:sz w:val="24"/>
              </w:rPr>
              <w:t>R</w:t>
            </w:r>
            <w:r w:rsidRPr="000E70B1">
              <w:rPr>
                <w:i/>
                <w:sz w:val="16"/>
              </w:rPr>
              <w:t>factor</w:t>
            </w:r>
            <w:r w:rsidRPr="000E70B1">
              <w:rPr>
                <w:position w:val="2"/>
                <w:sz w:val="24"/>
              </w:rPr>
              <w:t>=∑||</w:t>
            </w:r>
            <w:r w:rsidRPr="000E70B1">
              <w:rPr>
                <w:i/>
                <w:position w:val="2"/>
                <w:sz w:val="24"/>
              </w:rPr>
              <w:t>Fo</w:t>
            </w:r>
            <w:r w:rsidRPr="000E70B1">
              <w:rPr>
                <w:position w:val="2"/>
                <w:sz w:val="24"/>
              </w:rPr>
              <w:t>|-|</w:t>
            </w:r>
            <w:r w:rsidRPr="000E70B1">
              <w:rPr>
                <w:i/>
                <w:position w:val="2"/>
                <w:sz w:val="24"/>
              </w:rPr>
              <w:t>Fc</w:t>
            </w:r>
            <w:r w:rsidRPr="000E70B1">
              <w:rPr>
                <w:position w:val="2"/>
                <w:sz w:val="24"/>
              </w:rPr>
              <w:t>||/∑|</w:t>
            </w:r>
            <w:r w:rsidRPr="000E70B1">
              <w:rPr>
                <w:i/>
                <w:position w:val="2"/>
                <w:sz w:val="24"/>
              </w:rPr>
              <w:t>Fo</w:t>
            </w:r>
            <w:r w:rsidRPr="000E70B1">
              <w:rPr>
                <w:position w:val="2"/>
                <w:sz w:val="24"/>
              </w:rPr>
              <w:t>| where |</w:t>
            </w:r>
            <w:r w:rsidRPr="000E70B1">
              <w:rPr>
                <w:i/>
                <w:position w:val="2"/>
                <w:sz w:val="24"/>
              </w:rPr>
              <w:t>Fo</w:t>
            </w:r>
            <w:r w:rsidRPr="000E70B1">
              <w:rPr>
                <w:position w:val="2"/>
                <w:sz w:val="24"/>
              </w:rPr>
              <w:t>| and |</w:t>
            </w:r>
            <w:r w:rsidRPr="000E70B1">
              <w:rPr>
                <w:i/>
                <w:position w:val="2"/>
                <w:sz w:val="24"/>
              </w:rPr>
              <w:t>Fc</w:t>
            </w:r>
            <w:r w:rsidRPr="000E70B1">
              <w:rPr>
                <w:position w:val="2"/>
                <w:sz w:val="24"/>
              </w:rPr>
              <w:t xml:space="preserve">| </w:t>
            </w:r>
            <w:r w:rsidRPr="000E70B1">
              <w:rPr>
                <w:sz w:val="24"/>
              </w:rPr>
              <w:t>are observed and calculated structure factor amplitudes respectively.</w:t>
            </w:r>
          </w:p>
        </w:tc>
      </w:tr>
      <w:tr w:rsidR="00F3737D" w:rsidRPr="000E70B1" w:rsidTr="00A66540">
        <w:trPr>
          <w:trHeight w:val="780"/>
          <w:jc w:val="center"/>
        </w:trPr>
        <w:tc>
          <w:tcPr>
            <w:tcW w:w="8755" w:type="dxa"/>
            <w:gridSpan w:val="2"/>
          </w:tcPr>
          <w:p w:rsidR="00F3737D" w:rsidRPr="000E70B1" w:rsidRDefault="00F3737D" w:rsidP="00A66540">
            <w:pPr>
              <w:pStyle w:val="TableParagraph"/>
              <w:spacing w:before="7" w:line="380" w:lineRule="exact"/>
              <w:rPr>
                <w:sz w:val="24"/>
              </w:rPr>
            </w:pPr>
            <w:r w:rsidRPr="000E70B1">
              <w:rPr>
                <w:position w:val="11"/>
                <w:sz w:val="16"/>
              </w:rPr>
              <w:t>c</w:t>
            </w:r>
            <w:r w:rsidRPr="000E70B1">
              <w:rPr>
                <w:i/>
                <w:position w:val="2"/>
                <w:sz w:val="24"/>
              </w:rPr>
              <w:t>R</w:t>
            </w:r>
            <w:r w:rsidRPr="000E70B1">
              <w:rPr>
                <w:i/>
                <w:sz w:val="16"/>
              </w:rPr>
              <w:t xml:space="preserve">free </w:t>
            </w:r>
            <w:r w:rsidRPr="000E70B1">
              <w:rPr>
                <w:position w:val="2"/>
                <w:sz w:val="24"/>
              </w:rPr>
              <w:t xml:space="preserve">is the cross-validation </w:t>
            </w:r>
            <w:r w:rsidRPr="000E70B1">
              <w:rPr>
                <w:i/>
                <w:position w:val="2"/>
                <w:sz w:val="24"/>
              </w:rPr>
              <w:t>R</w:t>
            </w:r>
            <w:r w:rsidRPr="000E70B1">
              <w:rPr>
                <w:i/>
                <w:sz w:val="16"/>
              </w:rPr>
              <w:t xml:space="preserve">factor </w:t>
            </w:r>
            <w:r w:rsidRPr="000E70B1">
              <w:rPr>
                <w:position w:val="2"/>
                <w:sz w:val="24"/>
              </w:rPr>
              <w:t xml:space="preserve">computed for a randomly chosen subset of 5% of the </w:t>
            </w:r>
            <w:r w:rsidRPr="000E70B1">
              <w:rPr>
                <w:sz w:val="24"/>
              </w:rPr>
              <w:t>total number of reflections, which were not used during refinement.</w:t>
            </w:r>
          </w:p>
        </w:tc>
      </w:tr>
      <w:tr w:rsidR="00F3737D" w:rsidRPr="000E70B1" w:rsidTr="00A66540">
        <w:trPr>
          <w:trHeight w:val="360"/>
          <w:jc w:val="center"/>
        </w:trPr>
        <w:tc>
          <w:tcPr>
            <w:tcW w:w="8755" w:type="dxa"/>
            <w:gridSpan w:val="2"/>
            <w:tcBorders>
              <w:bottom w:val="single" w:sz="4" w:space="0" w:color="000000"/>
            </w:tcBorders>
          </w:tcPr>
          <w:p w:rsidR="00F3737D" w:rsidRPr="000E70B1" w:rsidRDefault="00F3737D" w:rsidP="00A66540">
            <w:pPr>
              <w:pStyle w:val="TableParagraph"/>
              <w:spacing w:before="50"/>
              <w:rPr>
                <w:sz w:val="24"/>
              </w:rPr>
            </w:pPr>
            <w:r w:rsidRPr="000E70B1">
              <w:rPr>
                <w:position w:val="9"/>
                <w:sz w:val="16"/>
              </w:rPr>
              <w:t>d</w:t>
            </w:r>
            <w:r w:rsidRPr="000E70B1">
              <w:rPr>
                <w:sz w:val="24"/>
              </w:rPr>
              <w:t>Root mean square deviation from ideal values.</w:t>
            </w:r>
          </w:p>
        </w:tc>
      </w:tr>
    </w:tbl>
    <w:p w:rsidR="009844B2" w:rsidRPr="00F3737D" w:rsidRDefault="009844B2"/>
    <w:sectPr w:rsidR="009844B2" w:rsidRPr="00F37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7D"/>
    <w:rsid w:val="00590B5D"/>
    <w:rsid w:val="009844B2"/>
    <w:rsid w:val="00F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910C8-A783-4F95-8A27-CCBCC8F2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uiPriority w:val="1"/>
    <w:rsid w:val="00F3737D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styleId="a3">
    <w:name w:val="Body Text"/>
    <w:basedOn w:val="a"/>
    <w:link w:val="Char"/>
    <w:uiPriority w:val="1"/>
    <w:qFormat/>
    <w:rsid w:val="00F3737D"/>
    <w:pPr>
      <w:autoSpaceDE w:val="0"/>
      <w:autoSpaceDN w:val="0"/>
      <w:spacing w:before="6"/>
      <w:jc w:val="left"/>
    </w:pPr>
    <w:rPr>
      <w:rFonts w:eastAsia="Times New Roman"/>
      <w:b/>
      <w:bCs/>
      <w:kern w:val="0"/>
      <w:sz w:val="24"/>
      <w:lang w:eastAsia="en-US"/>
    </w:rPr>
  </w:style>
  <w:style w:type="character" w:customStyle="1" w:styleId="Char1">
    <w:name w:val="正文文本 Char1"/>
    <w:basedOn w:val="a0"/>
    <w:uiPriority w:val="99"/>
    <w:semiHidden/>
    <w:rsid w:val="00F3737D"/>
    <w:rPr>
      <w:rFonts w:ascii="Times New Roman" w:eastAsia="宋体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F3737D"/>
    <w:pPr>
      <w:autoSpaceDE w:val="0"/>
      <w:autoSpaceDN w:val="0"/>
      <w:spacing w:before="56"/>
      <w:ind w:left="120"/>
      <w:jc w:val="left"/>
    </w:pPr>
    <w:rPr>
      <w:rFonts w:eastAsia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ding</dc:creator>
  <cp:keywords/>
  <dc:description/>
  <cp:lastModifiedBy>mei ding</cp:lastModifiedBy>
  <cp:revision>2</cp:revision>
  <dcterms:created xsi:type="dcterms:W3CDTF">2021-11-16T06:39:00Z</dcterms:created>
  <dcterms:modified xsi:type="dcterms:W3CDTF">2021-11-17T06:20:00Z</dcterms:modified>
</cp:coreProperties>
</file>