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6A65" w14:textId="247AB8BA" w:rsidR="00140CD0" w:rsidRPr="0085250C" w:rsidRDefault="00C964C7" w:rsidP="001E4E56">
      <w:pPr>
        <w:pStyle w:val="Heading1"/>
        <w:spacing w:line="360" w:lineRule="auto"/>
        <w:rPr>
          <w:rFonts w:cs="Arial"/>
        </w:rPr>
      </w:pPr>
      <w:r w:rsidRPr="0085250C">
        <w:rPr>
          <w:rFonts w:cs="Arial"/>
        </w:rPr>
        <w:t xml:space="preserve">S2 </w:t>
      </w:r>
      <w:r w:rsidR="003B7E85" w:rsidRPr="0085250C">
        <w:rPr>
          <w:rFonts w:cs="Arial"/>
        </w:rPr>
        <w:t xml:space="preserve">Text. </w:t>
      </w:r>
      <w:r w:rsidR="00140CD0" w:rsidRPr="0085250C">
        <w:rPr>
          <w:rFonts w:cs="Arial"/>
        </w:rPr>
        <w:t>Supplemental Acknowledgements</w:t>
      </w:r>
    </w:p>
    <w:p w14:paraId="3A0A7CF5" w14:textId="77777777" w:rsidR="00140CD0" w:rsidRPr="0085250C" w:rsidRDefault="00140CD0" w:rsidP="001E4E56">
      <w:pPr>
        <w:spacing w:line="360" w:lineRule="auto"/>
        <w:jc w:val="both"/>
        <w:rPr>
          <w:rFonts w:cs="Arial"/>
          <w:color w:val="000000" w:themeColor="text1"/>
          <w:u w:val="single"/>
        </w:rPr>
      </w:pPr>
      <w:r w:rsidRPr="0085250C">
        <w:rPr>
          <w:rFonts w:cs="Arial"/>
          <w:color w:val="000000" w:themeColor="text1"/>
          <w:u w:val="single"/>
        </w:rPr>
        <w:t>Breast Cancer Association Consortium (BCAC)</w:t>
      </w:r>
    </w:p>
    <w:p w14:paraId="3F689BCB" w14:textId="77777777" w:rsidR="00140CD0" w:rsidRPr="0085250C" w:rsidRDefault="00140CD0" w:rsidP="001E4E56">
      <w:pPr>
        <w:spacing w:line="360" w:lineRule="auto"/>
        <w:jc w:val="both"/>
        <w:rPr>
          <w:rFonts w:cs="Arial"/>
          <w:color w:val="000000" w:themeColor="text1"/>
        </w:rPr>
      </w:pPr>
      <w:r w:rsidRPr="0085250C">
        <w:rPr>
          <w:rFonts w:cs="Arial"/>
          <w:color w:val="000000" w:themeColor="text1"/>
        </w:rPr>
        <w:t>The breast cancer genome-wide association analyses were supported by the Government of Canada through Genome Canada and the Canadian Institutes of Health Research, the ‘</w:t>
      </w:r>
      <w:proofErr w:type="spellStart"/>
      <w:r w:rsidRPr="0085250C">
        <w:rPr>
          <w:rFonts w:cs="Arial"/>
          <w:color w:val="000000" w:themeColor="text1"/>
        </w:rPr>
        <w:t>Ministère</w:t>
      </w:r>
      <w:proofErr w:type="spellEnd"/>
      <w:r w:rsidRPr="0085250C">
        <w:rPr>
          <w:rFonts w:cs="Arial"/>
          <w:color w:val="000000" w:themeColor="text1"/>
        </w:rPr>
        <w:t xml:space="preserve"> de </w:t>
      </w:r>
      <w:proofErr w:type="spellStart"/>
      <w:r w:rsidRPr="0085250C">
        <w:rPr>
          <w:rFonts w:cs="Arial"/>
          <w:color w:val="000000" w:themeColor="text1"/>
        </w:rPr>
        <w:t>l’Économie</w:t>
      </w:r>
      <w:proofErr w:type="spellEnd"/>
      <w:r w:rsidRPr="0085250C">
        <w:rPr>
          <w:rFonts w:cs="Arial"/>
          <w:color w:val="000000" w:themeColor="text1"/>
        </w:rPr>
        <w:t xml:space="preserve">, de la Science et de </w:t>
      </w:r>
      <w:proofErr w:type="spellStart"/>
      <w:r w:rsidRPr="0085250C">
        <w:rPr>
          <w:rFonts w:cs="Arial"/>
          <w:color w:val="000000" w:themeColor="text1"/>
        </w:rPr>
        <w:t>l’Innovation</w:t>
      </w:r>
      <w:proofErr w:type="spellEnd"/>
      <w:r w:rsidRPr="0085250C">
        <w:rPr>
          <w:rFonts w:cs="Arial"/>
          <w:color w:val="000000" w:themeColor="text1"/>
        </w:rPr>
        <w:t xml:space="preserve"> du Québec’ through Genome Québec and grant PSR-SIIRI-701, The National Institutes of Health (U19 CA148065, X01HG007492), Cancer Research UK (C1287/A10118, C1287/A16563, C1287/A10710) and The European Union (HEALTH-F2-2009-223175 and H2020 633784 and 634935). All studies and funders are listed in </w:t>
      </w:r>
      <w:proofErr w:type="spellStart"/>
      <w:r w:rsidRPr="0085250C">
        <w:rPr>
          <w:rFonts w:cs="Arial"/>
          <w:color w:val="000000" w:themeColor="text1"/>
        </w:rPr>
        <w:t>Michailidou</w:t>
      </w:r>
      <w:proofErr w:type="spellEnd"/>
      <w:r w:rsidRPr="0085250C">
        <w:rPr>
          <w:rFonts w:cs="Arial"/>
          <w:color w:val="000000" w:themeColor="text1"/>
        </w:rPr>
        <w:t xml:space="preserve"> et al (2017).</w:t>
      </w:r>
    </w:p>
    <w:p w14:paraId="2B2D9DF4" w14:textId="77777777" w:rsidR="00140CD0" w:rsidRPr="0085250C" w:rsidRDefault="00140CD0" w:rsidP="001E4E56">
      <w:pPr>
        <w:spacing w:line="360" w:lineRule="auto"/>
        <w:jc w:val="both"/>
        <w:rPr>
          <w:rFonts w:cs="Arial"/>
          <w:color w:val="000000" w:themeColor="text1"/>
        </w:rPr>
      </w:pPr>
    </w:p>
    <w:p w14:paraId="10116000" w14:textId="77777777" w:rsidR="00140CD0" w:rsidRPr="0085250C" w:rsidRDefault="00140CD0" w:rsidP="001E4E56">
      <w:pPr>
        <w:spacing w:line="360" w:lineRule="auto"/>
        <w:jc w:val="both"/>
        <w:rPr>
          <w:rFonts w:cs="Arial"/>
          <w:color w:val="000000" w:themeColor="text1"/>
          <w:u w:val="single"/>
        </w:rPr>
      </w:pPr>
      <w:r w:rsidRPr="0085250C">
        <w:rPr>
          <w:rFonts w:cs="Arial"/>
          <w:color w:val="000000" w:themeColor="text1"/>
          <w:u w:val="single"/>
        </w:rPr>
        <w:t>Prostate Cancer Association Group to Investigate Cancer Associated Alterations in the Genome (PRACTICAL)</w:t>
      </w:r>
    </w:p>
    <w:p w14:paraId="059CA8FC" w14:textId="77777777" w:rsidR="00140CD0" w:rsidRPr="0085250C" w:rsidRDefault="00140CD0" w:rsidP="001E4E56">
      <w:pPr>
        <w:spacing w:line="360" w:lineRule="auto"/>
        <w:jc w:val="both"/>
        <w:rPr>
          <w:rFonts w:cs="Arial"/>
          <w:color w:val="000000" w:themeColor="text1"/>
        </w:rPr>
      </w:pPr>
      <w:r w:rsidRPr="0085250C">
        <w:rPr>
          <w:rFonts w:cs="Arial"/>
          <w:color w:val="000000" w:themeColor="text1"/>
        </w:rPr>
        <w:t xml:space="preserve">The Prostate cancer genome-wide association analyses are supported by the Canadian Institutes of Health Research, European Commission’s Seventh Framework </w:t>
      </w:r>
      <w:proofErr w:type="spellStart"/>
      <w:r w:rsidRPr="0085250C">
        <w:rPr>
          <w:rFonts w:cs="Arial"/>
          <w:color w:val="000000" w:themeColor="text1"/>
        </w:rPr>
        <w:t>Programme</w:t>
      </w:r>
      <w:proofErr w:type="spellEnd"/>
      <w:r w:rsidRPr="0085250C">
        <w:rPr>
          <w:rFonts w:cs="Arial"/>
          <w:color w:val="000000" w:themeColor="text1"/>
        </w:rPr>
        <w:t xml:space="preserve"> grant agreement n° 223175 (HEALTH-F2-2009-223175), Cancer Research UK Grants C5047/A7357, C1287/A10118, C1287/A16563, C5047/A3354, C5047/A10692, C16913/A6135, and The National Institute of Health (NIH) Cancer Post-Cancer GWAS initiative grant: No. 1 U19 CA 148537-01 (the GAME-ON initiative).</w:t>
      </w:r>
    </w:p>
    <w:p w14:paraId="660B7BE0" w14:textId="77777777" w:rsidR="00140CD0" w:rsidRPr="0085250C" w:rsidRDefault="00140CD0" w:rsidP="001E4E56">
      <w:pPr>
        <w:spacing w:line="360" w:lineRule="auto"/>
        <w:jc w:val="both"/>
        <w:rPr>
          <w:rFonts w:cs="Arial"/>
          <w:color w:val="000000" w:themeColor="text1"/>
        </w:rPr>
      </w:pPr>
      <w:r w:rsidRPr="0085250C">
        <w:rPr>
          <w:rFonts w:cs="Arial"/>
          <w:color w:val="000000" w:themeColor="text1"/>
        </w:rPr>
        <w:t xml:space="preserve">Genotyping of the </w:t>
      </w:r>
      <w:proofErr w:type="spellStart"/>
      <w:r w:rsidRPr="0085250C">
        <w:rPr>
          <w:rFonts w:cs="Arial"/>
          <w:color w:val="000000" w:themeColor="text1"/>
        </w:rPr>
        <w:t>OncoArray</w:t>
      </w:r>
      <w:proofErr w:type="spellEnd"/>
      <w:r w:rsidRPr="0085250C">
        <w:rPr>
          <w:rFonts w:cs="Arial"/>
          <w:color w:val="000000" w:themeColor="text1"/>
        </w:rPr>
        <w:t xml:space="preserve"> was funded by the US National Institutes of Health (NIH) [U19 CA 148537 for </w:t>
      </w:r>
      <w:proofErr w:type="spellStart"/>
      <w:r w:rsidRPr="0085250C">
        <w:rPr>
          <w:rFonts w:cs="Arial"/>
          <w:color w:val="000000" w:themeColor="text1"/>
        </w:rPr>
        <w:t>ELucidating</w:t>
      </w:r>
      <w:proofErr w:type="spellEnd"/>
      <w:r w:rsidRPr="0085250C">
        <w:rPr>
          <w:rFonts w:cs="Arial"/>
          <w:color w:val="000000" w:themeColor="text1"/>
        </w:rPr>
        <w:t xml:space="preserve"> Loci Involved in Prostate cancer </w:t>
      </w:r>
      <w:proofErr w:type="spellStart"/>
      <w:r w:rsidRPr="0085250C">
        <w:rPr>
          <w:rFonts w:cs="Arial"/>
          <w:color w:val="000000" w:themeColor="text1"/>
        </w:rPr>
        <w:t>SuscEptibility</w:t>
      </w:r>
      <w:proofErr w:type="spellEnd"/>
      <w:r w:rsidRPr="0085250C">
        <w:rPr>
          <w:rFonts w:cs="Arial"/>
          <w:color w:val="000000" w:themeColor="text1"/>
        </w:rPr>
        <w:t xml:space="preserve"> (ELLIPSE) project and X01HG007492 to the Center for Inherited Disease Research (CIDR) under contract number HHSN268201200008I] and by Cancer Research UK grant A8197/A16565. Additional analytic support was provided by NIH NCI U01 CA188392 (PI: Schumacher).</w:t>
      </w:r>
    </w:p>
    <w:p w14:paraId="4122C6A5" w14:textId="4089CCAD" w:rsidR="00947C5B" w:rsidRPr="0085250C" w:rsidRDefault="00140CD0" w:rsidP="001E4E56">
      <w:pPr>
        <w:spacing w:line="360" w:lineRule="auto"/>
        <w:ind w:firstLine="720"/>
        <w:jc w:val="both"/>
        <w:rPr>
          <w:color w:val="000000" w:themeColor="text1"/>
        </w:rPr>
      </w:pPr>
      <w:r w:rsidRPr="0085250C">
        <w:rPr>
          <w:rFonts w:cs="Arial"/>
          <w:color w:val="000000" w:themeColor="text1"/>
        </w:rPr>
        <w:t xml:space="preserve">We would also like to thank the following for funding support: The Institute of Cancer Research and The Everyman Campaign, The Prostate Cancer Research Foundation, Prostate Research Campaign UK (now PCUK), The Orchid Cancer Appeal, </w:t>
      </w:r>
      <w:proofErr w:type="spellStart"/>
      <w:r w:rsidRPr="0085250C">
        <w:rPr>
          <w:rFonts w:cs="Arial"/>
          <w:color w:val="000000" w:themeColor="text1"/>
        </w:rPr>
        <w:t>Rosetrees</w:t>
      </w:r>
      <w:proofErr w:type="spellEnd"/>
      <w:r w:rsidRPr="0085250C">
        <w:rPr>
          <w:rFonts w:cs="Arial"/>
          <w:color w:val="000000" w:themeColor="text1"/>
        </w:rPr>
        <w:t xml:space="preserve"> Trust, The National Cancer Research Network UK, The National Cancer Research Institute (NCRI) UK. We are grateful for support of NIHR funding to the NIHR </w:t>
      </w:r>
      <w:r w:rsidRPr="0085250C">
        <w:rPr>
          <w:rFonts w:cs="Arial"/>
          <w:color w:val="000000" w:themeColor="text1"/>
        </w:rPr>
        <w:lastRenderedPageBreak/>
        <w:t>Biomedical Research Centre at The Institute of Cancer Research and The Royal Marsden NHS Foundation Trust.</w:t>
      </w:r>
    </w:p>
    <w:sectPr w:rsidR="00947C5B" w:rsidRPr="0085250C" w:rsidSect="00947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410C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05A1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0A33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4E90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1B7E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8B7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47DA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29EF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3BCA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66B1F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11B88"/>
    <w:rsid w:val="00D25AC9"/>
    <w:rsid w:val="00D36F45"/>
    <w:rsid w:val="00D40F6A"/>
    <w:rsid w:val="00D55D0F"/>
    <w:rsid w:val="00D63F5C"/>
    <w:rsid w:val="00D7269D"/>
    <w:rsid w:val="00D75FEE"/>
    <w:rsid w:val="00D7780F"/>
    <w:rsid w:val="00D8202A"/>
    <w:rsid w:val="00D820FC"/>
    <w:rsid w:val="00D82EFC"/>
    <w:rsid w:val="00D939D3"/>
    <w:rsid w:val="00DA2596"/>
    <w:rsid w:val="00DC44B1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2</cp:revision>
  <dcterms:created xsi:type="dcterms:W3CDTF">2021-06-28T17:52:00Z</dcterms:created>
  <dcterms:modified xsi:type="dcterms:W3CDTF">2021-06-28T17:52:00Z</dcterms:modified>
</cp:coreProperties>
</file>